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200" w:after="283"/>
        <w:jc w:val="center"/>
        <w:rPr>
          <w:rFonts w:ascii="Times New Roman;serif" w:hAnsi="Times New Roman;serif"/>
          <w:b/>
          <w:color w:val="000000"/>
          <w:sz w:val="28"/>
        </w:rPr>
      </w:pPr>
      <w:r>
        <w:rPr>
          <w:rFonts w:ascii="Times New Roman;serif" w:hAnsi="Times New Roman;serif"/>
          <w:b/>
          <w:color w:val="000000"/>
          <w:sz w:val="28"/>
        </w:rPr>
        <w:t>FORM 8-K</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July 31, 2026</w:t>
      </w:r>
    </w:p>
    <w:p>
      <w:pPr>
        <w:pStyle w:val="TextBody"/>
        <w:bidi w:val="0"/>
        <w:spacing w:lineRule="auto" w:line="288" w:before="200" w:after="283"/>
        <w:jc w:val="center"/>
        <w:rPr>
          <w:rFonts w:ascii="Times New Roman;serif" w:hAnsi="Times New Roman;serif"/>
          <w:b/>
          <w:color w:val="000000"/>
          <w:sz w:val="44"/>
        </w:rPr>
      </w:pPr>
      <w:r>
        <w:rPr>
          <w:rFonts w:ascii="Times New Roman;serif" w:hAnsi="Times New Roman;serif"/>
          <w:b/>
          <w:color w:val="000000"/>
          <w:sz w:val="44"/>
        </w:rPr>
        <w:t>Arbor Realty Trust,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(Exact name of registrant as specified in its charter) </w:t>
      </w:r>
    </w:p>
    <w:tbl>
      <w:tblPr>
        <w:tblW w:w="8998" w:type="dxa"/>
        <w:jc w:val="left"/>
        <w:tblInd w:w="0" w:type="dxa"/>
        <w:tblLayout w:type="fixed"/>
        <w:tblCellMar>
          <w:top w:w="28" w:type="dxa"/>
          <w:left w:w="28" w:type="dxa"/>
          <w:bottom w:w="28" w:type="dxa"/>
          <w:right w:w="28" w:type="dxa"/>
        </w:tblCellMar>
      </w:tblPr>
      <w:tblGrid>
        <w:gridCol w:w="1345"/>
        <w:gridCol w:w="1184"/>
        <w:gridCol w:w="1190"/>
        <w:gridCol w:w="777"/>
        <w:gridCol w:w="777"/>
        <w:gridCol w:w="785"/>
        <w:gridCol w:w="858"/>
        <w:gridCol w:w="858"/>
        <w:gridCol w:w="1224"/>
      </w:tblGrid>
      <w:tr>
        <w:trPr/>
        <w:tc>
          <w:tcPr>
            <w:tcW w:w="1345"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Maryland</w:t>
            </w:r>
          </w:p>
        </w:tc>
        <w:tc>
          <w:tcPr>
            <w:tcW w:w="233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001-32136</w:t>
            </w:r>
          </w:p>
        </w:tc>
        <w:tc>
          <w:tcPr>
            <w:tcW w:w="294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20-0057959</w:t>
            </w:r>
          </w:p>
        </w:tc>
      </w:tr>
      <w:tr>
        <w:trPr/>
        <w:tc>
          <w:tcPr>
            <w:tcW w:w="37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(State or other jurisdiction of incorporation) </w:t>
            </w:r>
          </w:p>
        </w:tc>
        <w:tc>
          <w:tcPr>
            <w:tcW w:w="23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(Commission File Number) </w:t>
            </w:r>
          </w:p>
        </w:tc>
        <w:tc>
          <w:tcPr>
            <w:tcW w:w="294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(IRS Employer Identification No.) </w:t>
            </w:r>
          </w:p>
        </w:tc>
      </w:tr>
    </w:tbl>
    <w:tbl>
      <w:tblPr>
        <w:tblW w:w="6401" w:type="dxa"/>
        <w:jc w:val="left"/>
        <w:tblInd w:w="0" w:type="dxa"/>
        <w:tblLayout w:type="fixed"/>
        <w:tblCellMar>
          <w:top w:w="28" w:type="dxa"/>
          <w:left w:w="28" w:type="dxa"/>
          <w:bottom w:w="28" w:type="dxa"/>
          <w:right w:w="28" w:type="dxa"/>
        </w:tblCellMar>
      </w:tblPr>
      <w:tblGrid>
        <w:gridCol w:w="1787"/>
        <w:gridCol w:w="1569"/>
        <w:gridCol w:w="1578"/>
        <w:gridCol w:w="109"/>
        <w:gridCol w:w="109"/>
        <w:gridCol w:w="109"/>
        <w:gridCol w:w="334"/>
        <w:gridCol w:w="334"/>
        <w:gridCol w:w="472"/>
      </w:tblGrid>
      <w:tr>
        <w:trPr/>
        <w:tc>
          <w:tcPr>
            <w:tcW w:w="1787"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333 Earle Ovington Boulevard, Suite 900, Uniondale, 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11553</w:t>
            </w:r>
          </w:p>
        </w:tc>
      </w:tr>
      <w:tr>
        <w:trPr/>
        <w:tc>
          <w:tcPr>
            <w:tcW w:w="493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(Address of principal executive offices)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r>
              <w:rPr>
                <w:rFonts w:ascii="Times New Roman;serif" w:hAnsi="Times New Roman;serif"/>
                <w:b w:val="false"/>
                <w:color w:val="000000"/>
                <w:sz w:val="20"/>
              </w:rPr>
              <w:t xml:space="preserve">(Zip Code) </w:t>
            </w:r>
          </w:p>
        </w:tc>
      </w:tr>
    </w:tbl>
    <w:p>
      <w:pPr>
        <w:pStyle w:val="TextBody"/>
        <w:bidi w:val="0"/>
        <w:spacing w:lineRule="auto" w:line="288" w:before="200" w:after="283"/>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(516) 506-4200</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2334"/>
        <w:gridCol w:w="1665"/>
        <w:gridCol w:w="1685"/>
        <w:gridCol w:w="109"/>
        <w:gridCol w:w="109"/>
        <w:gridCol w:w="109"/>
        <w:gridCol w:w="410"/>
        <w:gridCol w:w="410"/>
        <w:gridCol w:w="412"/>
        <w:gridCol w:w="109"/>
        <w:gridCol w:w="109"/>
        <w:gridCol w:w="109"/>
        <w:gridCol w:w="769"/>
        <w:gridCol w:w="769"/>
        <w:gridCol w:w="1097"/>
      </w:tblGrid>
      <w:tr>
        <w:trPr/>
        <w:tc>
          <w:tcPr>
            <w:tcW w:w="2334" w:type="dxa"/>
            <w:tcBorders/>
            <w:vAlign w:val="center"/>
          </w:tcPr>
          <w:p>
            <w:pPr>
              <w:pStyle w:val="TableContents"/>
              <w:bidi w:val="0"/>
              <w:spacing w:before="0" w:after="283"/>
              <w:jc w:val="left"/>
              <w:rPr>
                <w:sz w:val="4"/>
                <w:szCs w:val="4"/>
              </w:rPr>
            </w:pPr>
            <w:r>
              <w:rPr>
                <w:sz w:val="4"/>
                <w:szCs w:val="4"/>
              </w:rPr>
            </w:r>
          </w:p>
        </w:tc>
        <w:tc>
          <w:tcPr>
            <w:tcW w:w="1665"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r>
      <w:tr>
        <w:trPr/>
        <w:tc>
          <w:tcPr>
            <w:tcW w:w="56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56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ABR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r>
        <w:trPr/>
        <w:tc>
          <w:tcPr>
            <w:tcW w:w="56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 6.375% Series D Cumulative Redeemable,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ABR-PD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r>
        <w:trPr/>
        <w:tc>
          <w:tcPr>
            <w:tcW w:w="56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 6.25% Series E Cumulative Redeemable,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ABR-PE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r>
        <w:trPr/>
        <w:tc>
          <w:tcPr>
            <w:tcW w:w="56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 6.25% Series F Fixed-to-Floating Rate Cumulative Redeemable,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ABR-PF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200" w:after="283"/>
        <w:jc w:val="left"/>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o</w:t>
      </w:r>
    </w:p>
    <w:p>
      <w:pPr>
        <w:pStyle w:val="TextBody"/>
        <w:bidi w:val="0"/>
        <w:spacing w:lineRule="auto" w:line="288" w:before="20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On July 31, 2026, Arbor Realty Trust, Inc. issued a press release announcing its earnings for the quarter ended June 30, 2026, a copy of which is attached hereto as Exhibit 99.1.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8352" w:type="dxa"/>
        <w:jc w:val="left"/>
        <w:tblInd w:w="0" w:type="dxa"/>
        <w:tblLayout w:type="fixed"/>
        <w:tblCellMar>
          <w:top w:w="28" w:type="dxa"/>
          <w:left w:w="28" w:type="dxa"/>
          <w:bottom w:w="28" w:type="dxa"/>
          <w:right w:w="28" w:type="dxa"/>
        </w:tblCellMar>
      </w:tblPr>
      <w:tblGrid>
        <w:gridCol w:w="515"/>
        <w:gridCol w:w="454"/>
        <w:gridCol w:w="456"/>
        <w:gridCol w:w="109"/>
        <w:gridCol w:w="109"/>
        <w:gridCol w:w="109"/>
        <w:gridCol w:w="1932"/>
        <w:gridCol w:w="1932"/>
        <w:gridCol w:w="2736"/>
      </w:tblGrid>
      <w:tr>
        <w:trPr/>
        <w:tc>
          <w:tcPr>
            <w:tcW w:w="515"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c>
          <w:tcPr>
            <w:tcW w:w="2736"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14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w:anchor="abr-06302026xearningsrelea.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left"/>
              <w:rPr/>
            </w:pPr>
            <w:hyperlink w:anchor="abr-06302026xearningsrelea.htm">
              <w:r>
                <w:rPr>
                  <w:rStyle w:val="InternetLink"/>
                  <w:rFonts w:ascii="Times New Roman;serif" w:hAnsi="Times New Roman;serif"/>
                  <w:b w:val="false"/>
                  <w:color w:val="000080"/>
                  <w:sz w:val="20"/>
                  <w:u w:val="single"/>
                </w:rPr>
                <w:t xml:space="preserve">Press Release, dated </w:t>
              </w:r>
            </w:hyperlink>
            <w:hyperlink w:anchor="abr-06302026xearningsrelea.htm">
              <w:r>
                <w:rPr>
                  <w:rStyle w:val="InternetLink"/>
                  <w:rFonts w:ascii="Times New Roman;serif" w:hAnsi="Times New Roman;serif"/>
                  <w:b w:val="false"/>
                  <w:color w:val="000080"/>
                  <w:sz w:val="20"/>
                  <w:u w:val="single"/>
                </w:rPr>
                <w:t>July</w:t>
              </w:r>
            </w:hyperlink>
            <w:hyperlink w:anchor="abr-06302026xearningsrelea.htm">
              <w:r>
                <w:rPr>
                  <w:rStyle w:val="InternetLink"/>
                  <w:rFonts w:ascii="Times New Roman;serif" w:hAnsi="Times New Roman;serif"/>
                  <w:b w:val="false"/>
                  <w:color w:val="000080"/>
                  <w:sz w:val="20"/>
                  <w:u w:val="single"/>
                </w:rPr>
                <w:t xml:space="preserve"> </w:t>
              </w:r>
            </w:hyperlink>
            <w:hyperlink w:anchor="abr-06302026xearningsrelea.htm">
              <w:r>
                <w:rPr>
                  <w:rStyle w:val="InternetLink"/>
                  <w:rFonts w:ascii="Times New Roman;serif" w:hAnsi="Times New Roman;serif"/>
                  <w:b w:val="false"/>
                  <w:color w:val="000080"/>
                  <w:sz w:val="20"/>
                  <w:u w:val="single"/>
                </w:rPr>
                <w:t>31</w:t>
              </w:r>
            </w:hyperlink>
            <w:hyperlink w:anchor="abr-06302026xearningsrelea.htm">
              <w:r>
                <w:rPr>
                  <w:rStyle w:val="InternetLink"/>
                  <w:rFonts w:ascii="Times New Roman;serif" w:hAnsi="Times New Roman;serif"/>
                  <w:b w:val="false"/>
                  <w:color w:val="000080"/>
                  <w:sz w:val="20"/>
                  <w:u w:val="single"/>
                </w:rPr>
                <w:t>, 2026</w:t>
              </w:r>
            </w:hyperlink>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5003" w:type="dxa"/>
        <w:jc w:val="left"/>
        <w:tblInd w:w="0" w:type="dxa"/>
        <w:tblLayout w:type="fixed"/>
        <w:tblCellMar>
          <w:top w:w="28" w:type="dxa"/>
          <w:left w:w="28" w:type="dxa"/>
          <w:bottom w:w="28" w:type="dxa"/>
          <w:right w:w="28" w:type="dxa"/>
        </w:tblCellMar>
      </w:tblPr>
      <w:tblGrid>
        <w:gridCol w:w="618"/>
        <w:gridCol w:w="544"/>
        <w:gridCol w:w="547"/>
        <w:gridCol w:w="428"/>
        <w:gridCol w:w="428"/>
        <w:gridCol w:w="428"/>
        <w:gridCol w:w="583"/>
        <w:gridCol w:w="583"/>
        <w:gridCol w:w="844"/>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4"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ARBOR REALTY TRUST, INC.</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July 31, 2026</w:t>
            </w:r>
          </w:p>
        </w:tc>
        <w:tc>
          <w:tcPr>
            <w:tcW w:w="12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Paul Elenio</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Paul Elenio</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240" w:after="283"/>
        <w:jc w:val="center"/>
        <w:rPr/>
      </w:pPr>
      <w:r>
        <w:rPr/>
        <w:drawing>
          <wp:inline distT="0" distB="0" distL="0" distR="0">
            <wp:extent cx="2781300" cy="9144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781300" cy="914400"/>
                    </a:xfrm>
                    <a:prstGeom prst="rect">
                      <a:avLst/>
                    </a:prstGeom>
                  </pic:spPr>
                </pic:pic>
              </a:graphicData>
            </a:graphic>
          </wp:inline>
        </w:drawing>
      </w:r>
    </w:p>
    <w:p>
      <w:pPr>
        <w:pStyle w:val="TextBody"/>
        <w:bidi w:val="0"/>
        <w:spacing w:before="240" w:after="283"/>
        <w:jc w:val="center"/>
        <w:rPr/>
      </w:pPr>
      <w:r>
        <w:rPr/>
      </w:r>
    </w:p>
    <w:p>
      <w:pPr>
        <w:pStyle w:val="TextBody"/>
        <w:bidi w:val="0"/>
        <w:spacing w:lineRule="auto" w:line="288" w:before="240" w:after="283"/>
        <w:jc w:val="center"/>
        <w:rPr>
          <w:rFonts w:ascii="Times New Roman;serif" w:hAnsi="Times New Roman;serif"/>
          <w:b/>
          <w:color w:val="000000"/>
          <w:sz w:val="32"/>
        </w:rPr>
      </w:pPr>
      <w:r>
        <w:rPr>
          <w:rFonts w:ascii="Times New Roman;serif" w:hAnsi="Times New Roman;serif"/>
          <w:b/>
          <w:color w:val="000000"/>
          <w:sz w:val="32"/>
        </w:rPr>
        <w:t>Arbor Realty Trust Reports Second Quarter 2026 Results and Declares Dividend of $0.17 per Share</w:t>
      </w:r>
    </w:p>
    <w:p>
      <w:pPr>
        <w:pStyle w:val="TextBody"/>
        <w:bidi w:val="0"/>
        <w:spacing w:before="240" w:after="283"/>
        <w:jc w:val="center"/>
        <w:rPr/>
      </w:pPr>
      <w:r>
        <w:rPr/>
      </w:r>
    </w:p>
    <w:p>
      <w:pPr>
        <w:pStyle w:val="TextBody"/>
        <w:bidi w:val="0"/>
        <w:spacing w:lineRule="auto" w:line="288" w:before="240" w:after="283"/>
        <w:jc w:val="both"/>
        <w:rPr>
          <w:rFonts w:ascii="Times New Roman;serif" w:hAnsi="Times New Roman;serif"/>
          <w:b/>
          <w:color w:val="000000"/>
          <w:sz w:val="24"/>
          <w:u w:val="single"/>
        </w:rPr>
      </w:pPr>
      <w:r>
        <w:rPr>
          <w:rFonts w:ascii="Times New Roman;serif" w:hAnsi="Times New Roman;serif"/>
          <w:b/>
          <w:color w:val="000000"/>
          <w:sz w:val="24"/>
          <w:u w:val="single"/>
        </w:rPr>
        <w:t>Company Highlights:</w:t>
      </w:r>
    </w:p>
    <w:p>
      <w:pPr>
        <w:pStyle w:val="TextBody"/>
        <w:bidi w:val="0"/>
        <w:spacing w:lineRule="atLeast" w:line="328" w:before="120" w:after="60"/>
        <w:ind w:left="0" w:right="0" w:hanging="360"/>
        <w:jc w:val="both"/>
        <w:rPr/>
      </w:pPr>
      <w:r>
        <w:rPr>
          <w:color w:val="000000"/>
        </w:rPr>
        <w:t>•</w:t>
      </w:r>
      <w:r>
        <w:rPr>
          <w:rFonts w:ascii="Times New Roman;serif" w:hAnsi="Times New Roman;serif"/>
          <w:b w:val="false"/>
          <w:color w:val="000000"/>
          <w:sz w:val="24"/>
        </w:rPr>
        <w:t>GAAP net loss of $(37.3) million, or $(0.20) per diluted common share</w:t>
      </w:r>
    </w:p>
    <w:p>
      <w:pPr>
        <w:pStyle w:val="TextBody"/>
        <w:bidi w:val="0"/>
        <w:spacing w:lineRule="atLeast" w:line="328" w:before="60" w:after="60"/>
        <w:ind w:left="0" w:right="0" w:hanging="360"/>
        <w:jc w:val="both"/>
        <w:rPr/>
      </w:pPr>
      <w:r>
        <w:rPr>
          <w:color w:val="000000"/>
        </w:rPr>
        <w:t>•</w:t>
      </w:r>
      <w:r>
        <w:rPr>
          <w:rFonts w:ascii="Times New Roman;serif" w:hAnsi="Times New Roman;serif"/>
          <w:b w:val="false"/>
          <w:color w:val="000000"/>
          <w:sz w:val="24"/>
        </w:rPr>
        <w:t>Distributable earnings</w:t>
      </w:r>
      <w:r>
        <w:rPr>
          <w:rFonts w:ascii="Times New Roman;serif" w:hAnsi="Times New Roman;serif"/>
          <w:b w:val="false"/>
          <w:color w:val="000000"/>
          <w:sz w:val="16"/>
        </w:rPr>
        <w:t>1</w:t>
      </w:r>
      <w:r>
        <w:rPr>
          <w:color w:val="000000"/>
        </w:rPr>
        <w:t xml:space="preserve"> </w:t>
      </w:r>
      <w:r>
        <w:rPr>
          <w:rFonts w:ascii="Times New Roman;serif" w:hAnsi="Times New Roman;serif"/>
          <w:b w:val="false"/>
          <w:color w:val="000000"/>
          <w:sz w:val="24"/>
        </w:rPr>
        <w:t>of $0.10 per diluted common share, or $0.15 excluding $9.6 million of net realized losses from the resolution of certain legacy assets</w:t>
      </w:r>
    </w:p>
    <w:p>
      <w:pPr>
        <w:pStyle w:val="TextBody"/>
        <w:bidi w:val="0"/>
        <w:spacing w:lineRule="auto" w:line="328" w:before="0" w:after="0"/>
        <w:ind w:left="0" w:right="0" w:hanging="360"/>
        <w:jc w:val="both"/>
        <w:rPr/>
      </w:pPr>
      <w:r>
        <w:rPr>
          <w:color w:val="000000"/>
        </w:rPr>
        <w:t>•</w:t>
      </w:r>
      <w:r>
        <w:rPr>
          <w:rFonts w:ascii="Times New Roman;serif" w:hAnsi="Times New Roman;serif"/>
          <w:b w:val="false"/>
          <w:color w:val="000000"/>
          <w:sz w:val="24"/>
        </w:rPr>
        <w:t>Generated ~$500 million of additional liquidity through two recent capital markets transactions with a portion of the proceeds used to:</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4"/>
        </w:rPr>
        <w:t xml:space="preserve">Repurchase $114.3 million of common stock at $5.42 per share, or 49% of book value in July 2026 </w:t>
      </w:r>
    </w:p>
    <w:p>
      <w:pPr>
        <w:pStyle w:val="TextBody"/>
        <w:bidi w:val="0"/>
        <w:spacing w:lineRule="atLeast" w:line="328" w:before="60" w:after="60"/>
        <w:ind w:left="0" w:right="0" w:hanging="360"/>
        <w:jc w:val="both"/>
        <w:rPr/>
      </w:pPr>
      <w:r>
        <w:rPr>
          <w:color w:val="000000"/>
        </w:rPr>
        <w:t>◦</w:t>
      </w:r>
      <w:r>
        <w:rPr>
          <w:rFonts w:ascii="Times New Roman;serif" w:hAnsi="Times New Roman;serif"/>
          <w:b w:val="false"/>
          <w:color w:val="000000"/>
          <w:sz w:val="24"/>
        </w:rPr>
        <w:t>Redeem $270 million of senior notes in July 2026</w:t>
      </w:r>
    </w:p>
    <w:p>
      <w:pPr>
        <w:pStyle w:val="TextBody"/>
        <w:bidi w:val="0"/>
        <w:spacing w:lineRule="atLeast" w:line="328" w:before="60" w:after="60"/>
        <w:ind w:left="0" w:right="0" w:hanging="360"/>
        <w:jc w:val="left"/>
        <w:rPr/>
      </w:pPr>
      <w:r>
        <w:rPr>
          <w:color w:val="000000"/>
        </w:rPr>
        <w:t>•</w:t>
      </w:r>
      <w:r>
        <w:rPr>
          <w:rFonts w:ascii="Times New Roman;serif" w:hAnsi="Times New Roman;serif"/>
          <w:b w:val="false"/>
          <w:color w:val="000000"/>
          <w:sz w:val="24"/>
        </w:rPr>
        <w:t>Repurchased an additional $20.8 million of stock at $5.85 per share, or 53% of book value</w:t>
      </w:r>
    </w:p>
    <w:p>
      <w:pPr>
        <w:pStyle w:val="TextBody"/>
        <w:bidi w:val="0"/>
        <w:spacing w:lineRule="atLeast" w:line="328" w:before="60" w:after="60"/>
        <w:ind w:left="0" w:right="0" w:hanging="360"/>
        <w:jc w:val="left"/>
        <w:rPr/>
      </w:pPr>
      <w:r>
        <w:rPr>
          <w:color w:val="000000"/>
        </w:rPr>
        <w:t>•</w:t>
      </w:r>
      <w:r>
        <w:rPr>
          <w:rFonts w:ascii="Times New Roman;serif" w:hAnsi="Times New Roman;serif"/>
          <w:b w:val="false"/>
          <w:color w:val="000000"/>
          <w:sz w:val="24"/>
        </w:rPr>
        <w:t>Declares cash dividend on common stock of $0.17 per share</w:t>
      </w:r>
    </w:p>
    <w:p>
      <w:pPr>
        <w:pStyle w:val="TextBody"/>
        <w:bidi w:val="0"/>
        <w:spacing w:lineRule="atLeast" w:line="328" w:before="60" w:after="60"/>
        <w:ind w:left="0" w:right="0" w:hanging="360"/>
        <w:jc w:val="left"/>
        <w:rPr/>
      </w:pPr>
      <w:r>
        <w:rPr>
          <w:color w:val="000000"/>
        </w:rPr>
        <w:t>•</w:t>
      </w:r>
      <w:r>
        <w:rPr>
          <w:rFonts w:ascii="Times New Roman;serif" w:hAnsi="Times New Roman;serif"/>
          <w:b w:val="false"/>
          <w:color w:val="000000"/>
          <w:sz w:val="24"/>
        </w:rPr>
        <w:t>Servicing portfolio of ~$36.70 billion, agency loan originations of $1.08 billion</w:t>
      </w:r>
    </w:p>
    <w:p>
      <w:pPr>
        <w:pStyle w:val="TextBody"/>
        <w:bidi w:val="0"/>
        <w:spacing w:lineRule="atLeast" w:line="328" w:before="60" w:after="60"/>
        <w:ind w:left="0" w:right="0" w:hanging="360"/>
        <w:jc w:val="both"/>
        <w:rPr/>
      </w:pPr>
      <w:r>
        <w:rPr>
          <w:color w:val="000000"/>
        </w:rPr>
        <w:t>•</w:t>
      </w:r>
      <w:r>
        <w:rPr>
          <w:rFonts w:ascii="Times New Roman;serif" w:hAnsi="Times New Roman;serif"/>
          <w:b w:val="false"/>
          <w:color w:val="000000"/>
          <w:sz w:val="24"/>
        </w:rPr>
        <w:t>Structured loan portfolio of ~$12.11 billion, originations of $689.0 million and runoff of $539.7 million</w:t>
      </w:r>
    </w:p>
    <w:p>
      <w:pPr>
        <w:pStyle w:val="TextBody"/>
        <w:bidi w:val="0"/>
        <w:spacing w:before="0" w:after="60"/>
        <w:jc w:val="left"/>
        <w:rPr/>
      </w:pPr>
      <w:r>
        <w:rPr/>
      </w:r>
    </w:p>
    <w:p>
      <w:pPr>
        <w:pStyle w:val="TextBody"/>
        <w:bidi w:val="0"/>
        <w:spacing w:before="200" w:after="283"/>
        <w:jc w:val="both"/>
        <w:rPr/>
      </w:pPr>
      <w:r>
        <w:rPr/>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Uniondale, NY, July 31, 2026 -- Arbor Realty Trust, Inc. (NYSE: ABR), today announced financial results for the second quarter ended June 30, 2026. Arbor reported a net loss for the quarter of $(37.3) million, or $(0.20) per diluted common share, compared to net income of $24.0 million, or $0.12 per diluted common share for the quarter ended June 30, 2025. Distributable earnings for the quarter was $21.7 million, or $0.10 per diluted common share, compared to $52.1 million, or $0.25 per diluted common share for the quarter ended June 30, 2025. </w:t>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9686" w:type="dxa"/>
        <w:jc w:val="left"/>
        <w:tblInd w:w="0" w:type="dxa"/>
        <w:tblLayout w:type="fixed"/>
        <w:tblCellMar>
          <w:top w:w="28" w:type="dxa"/>
          <w:left w:w="28" w:type="dxa"/>
          <w:bottom w:w="28" w:type="dxa"/>
          <w:right w:w="28" w:type="dxa"/>
        </w:tblCellMar>
      </w:tblPr>
      <w:tblGrid>
        <w:gridCol w:w="1674"/>
        <w:gridCol w:w="1477"/>
        <w:gridCol w:w="1477"/>
        <w:gridCol w:w="1477"/>
        <w:gridCol w:w="1477"/>
        <w:gridCol w:w="2104"/>
      </w:tblGrid>
      <w:tr>
        <w:trPr/>
        <w:tc>
          <w:tcPr>
            <w:tcW w:w="1674"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2104" w:type="dxa"/>
            <w:tcBorders/>
            <w:vAlign w:val="center"/>
          </w:tcPr>
          <w:p>
            <w:pPr>
              <w:pStyle w:val="TableContents"/>
              <w:bidi w:val="0"/>
              <w:spacing w:before="0" w:after="283"/>
              <w:jc w:val="left"/>
              <w:rPr>
                <w:sz w:val="4"/>
                <w:szCs w:val="4"/>
              </w:rPr>
            </w:pPr>
            <w:r>
              <w:rPr>
                <w:sz w:val="4"/>
                <w:szCs w:val="4"/>
              </w:rPr>
            </w:r>
          </w:p>
        </w:tc>
      </w:tr>
      <w:tr>
        <w:trPr/>
        <w:tc>
          <w:tcPr>
            <w:tcW w:w="9686" w:type="dxa"/>
            <w:gridSpan w:val="6"/>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i/>
                <w:color w:val="000000"/>
                <w:sz w:val="24"/>
              </w:rPr>
            </w:pPr>
            <w:r>
              <w:rPr>
                <w:rFonts w:ascii="Times New Roman;serif" w:hAnsi="Times New Roman;serif"/>
                <w:b w:val="false"/>
                <w:i/>
                <w:color w:val="000000"/>
                <w:sz w:val="24"/>
              </w:rPr>
              <w:t>Arbor Realty Trust Reports Second Quarter 2026 Results and Declares Dividend of $0.17 per Share</w:t>
            </w:r>
          </w:p>
        </w:tc>
      </w:tr>
      <w:tr>
        <w:trPr/>
        <w:tc>
          <w:tcPr>
            <w:tcW w:w="4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8"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i/>
                <w:color w:val="000000"/>
                <w:sz w:val="24"/>
              </w:rPr>
            </w:pPr>
            <w:r>
              <w:rPr>
                <w:rFonts w:ascii="Times New Roman;serif" w:hAnsi="Times New Roman;serif"/>
                <w:b w:val="false"/>
                <w:i/>
                <w:color w:val="000000"/>
                <w:sz w:val="24"/>
              </w:rPr>
              <w:t>July 31, 2026</w:t>
            </w:r>
          </w:p>
        </w:tc>
        <w:tc>
          <w:tcPr>
            <w:tcW w:w="5058"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i/>
                <w:color w:val="000000"/>
                <w:sz w:val="24"/>
              </w:rPr>
            </w:pPr>
            <w:r>
              <w:rPr>
                <w:rFonts w:ascii="Times New Roman;serif" w:hAnsi="Times New Roman;serif"/>
                <w:b w:val="false"/>
                <w:i/>
                <w:color w:val="000000"/>
                <w:sz w:val="24"/>
              </w:rPr>
              <w:t>Page 2</w:t>
            </w:r>
          </w:p>
        </w:tc>
      </w:tr>
    </w:tbl>
    <w:p>
      <w:pPr>
        <w:pStyle w:val="TextBody"/>
        <w:bidi w:val="0"/>
        <w:spacing w:lineRule="auto" w:line="288" w:before="240" w:after="283"/>
        <w:jc w:val="both"/>
        <w:rPr>
          <w:rFonts w:ascii="Times New Roman;serif" w:hAnsi="Times New Roman;serif"/>
          <w:b/>
          <w:color w:val="000000"/>
          <w:sz w:val="24"/>
          <w:u w:val="single"/>
        </w:rPr>
      </w:pPr>
      <w:r>
        <w:rPr>
          <w:rFonts w:ascii="Times New Roman;serif" w:hAnsi="Times New Roman;serif"/>
          <w:b/>
          <w:color w:val="000000"/>
          <w:sz w:val="24"/>
          <w:u w:val="single"/>
        </w:rPr>
        <w:t>Agency Business</w:t>
      </w:r>
    </w:p>
    <w:p>
      <w:pPr>
        <w:pStyle w:val="TextBody"/>
        <w:bidi w:val="0"/>
        <w:spacing w:lineRule="auto" w:line="288" w:before="240" w:after="283"/>
        <w:jc w:val="both"/>
        <w:rPr>
          <w:rFonts w:ascii="Times New Roman;serif" w:hAnsi="Times New Roman;serif"/>
          <w:b/>
          <w:i/>
          <w:color w:val="000000"/>
          <w:sz w:val="24"/>
        </w:rPr>
      </w:pPr>
      <w:r>
        <w:rPr>
          <w:rFonts w:ascii="Times New Roman;serif" w:hAnsi="Times New Roman;serif"/>
          <w:b/>
          <w:i/>
          <w:color w:val="000000"/>
          <w:sz w:val="24"/>
        </w:rPr>
        <w:t>Loan Origination Platform</w:t>
      </w:r>
    </w:p>
    <w:tbl>
      <w:tblPr>
        <w:tblW w:w="5864" w:type="dxa"/>
        <w:jc w:val="left"/>
        <w:tblInd w:w="0" w:type="dxa"/>
        <w:tblLayout w:type="fixed"/>
        <w:tblCellMar>
          <w:top w:w="28" w:type="dxa"/>
          <w:left w:w="28" w:type="dxa"/>
          <w:bottom w:w="28" w:type="dxa"/>
          <w:right w:w="28" w:type="dxa"/>
        </w:tblCellMar>
      </w:tblPr>
      <w:tblGrid>
        <w:gridCol w:w="922"/>
        <w:gridCol w:w="812"/>
        <w:gridCol w:w="816"/>
        <w:gridCol w:w="231"/>
        <w:gridCol w:w="1155"/>
        <w:gridCol w:w="111"/>
        <w:gridCol w:w="111"/>
        <w:gridCol w:w="111"/>
        <w:gridCol w:w="111"/>
        <w:gridCol w:w="252"/>
        <w:gridCol w:w="1060"/>
        <w:gridCol w:w="172"/>
      </w:tblGrid>
      <w:tr>
        <w:trPr/>
        <w:tc>
          <w:tcPr>
            <w:tcW w:w="92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31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Agency Loan Volume (in thousands)</w:t>
            </w:r>
          </w:p>
        </w:tc>
      </w:tr>
      <w:tr>
        <w:trPr/>
        <w:tc>
          <w:tcPr>
            <w:tcW w:w="255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31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Quarter Ended</w:t>
            </w:r>
          </w:p>
        </w:tc>
      </w:tr>
      <w:tr>
        <w:trPr/>
        <w:tc>
          <w:tcPr>
            <w:tcW w:w="255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4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Fannie Mae</w:t>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1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619,130 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0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570,815 </w:t>
            </w:r>
          </w:p>
        </w:tc>
        <w:tc>
          <w:tcPr>
            <w:tcW w:w="1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Freddie Mac</w:t>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428,278 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91,255 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SFR-Fixed Rate</w:t>
            </w:r>
          </w:p>
        </w:tc>
        <w:tc>
          <w:tcPr>
            <w:tcW w:w="13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21,272 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FHA</w:t>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8,083 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45,507 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Total Originations</w:t>
            </w:r>
          </w:p>
        </w:tc>
        <w:tc>
          <w:tcPr>
            <w:tcW w:w="2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15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1,076,763 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0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707,577 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Total Loan Sales</w:t>
            </w:r>
          </w:p>
        </w:tc>
        <w:tc>
          <w:tcPr>
            <w:tcW w:w="2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15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1,143,438 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0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670,972 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497"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Total Loan Commitments</w:t>
            </w:r>
          </w:p>
        </w:tc>
        <w:tc>
          <w:tcPr>
            <w:tcW w:w="23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155"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1,211,900 </w:t>
            </w:r>
          </w:p>
        </w:tc>
        <w:tc>
          <w:tcPr>
            <w:tcW w:w="1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06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733,860 </w:t>
            </w:r>
          </w:p>
        </w:tc>
        <w:tc>
          <w:tcPr>
            <w:tcW w:w="172"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For the quarter ended June 30, 2026, the Agency Business generated revenues of $64.5 million, compared to $57.9 million for the first quarter of 2026. Gain on sales, including fee-based services, net was $15.2 million for the quarter, reflecting a margin of 1.33%, compared to $12.5 million and 1.86% for the first quarter of 2026. Income from mortgage servicing rights was $12.1 million for the quarter, reflecting a rate of 1.00% as a percentage of loan commitments, compared to $9.7 million and 1.32% for the first quarter of 2026. </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At June 30, 2026, loans held-for-sale was $375.8 million, with financing associated with these loans totaling $359.3 million.</w:t>
      </w:r>
    </w:p>
    <w:p>
      <w:pPr>
        <w:pStyle w:val="TextBody"/>
        <w:bidi w:val="0"/>
        <w:spacing w:lineRule="auto" w:line="288" w:before="240" w:after="283"/>
        <w:jc w:val="both"/>
        <w:rPr>
          <w:rFonts w:ascii="Times New Roman;serif" w:hAnsi="Times New Roman;serif"/>
          <w:b/>
          <w:i/>
          <w:color w:val="000000"/>
          <w:sz w:val="24"/>
        </w:rPr>
      </w:pPr>
      <w:r>
        <w:rPr>
          <w:rFonts w:ascii="Times New Roman;serif" w:hAnsi="Times New Roman;serif"/>
          <w:b/>
          <w:i/>
          <w:color w:val="000000"/>
          <w:sz w:val="24"/>
        </w:rPr>
        <w:t>Fee-Based Servicing Portfolio</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The Company’s fee-based servicing portfolio totaled $36.70 billion at June 30, 2026. Servicing revenue, net was $23.9 million for the quarter and consisted of servicing revenue of $42.1 million, net of amortization of mortgage servicing rights totaling $18.2 million.</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9686" w:type="dxa"/>
        <w:jc w:val="left"/>
        <w:tblInd w:w="0" w:type="dxa"/>
        <w:tblLayout w:type="fixed"/>
        <w:tblCellMar>
          <w:top w:w="28" w:type="dxa"/>
          <w:left w:w="28" w:type="dxa"/>
          <w:bottom w:w="28" w:type="dxa"/>
          <w:right w:w="28" w:type="dxa"/>
        </w:tblCellMar>
      </w:tblPr>
      <w:tblGrid>
        <w:gridCol w:w="1674"/>
        <w:gridCol w:w="1477"/>
        <w:gridCol w:w="1477"/>
        <w:gridCol w:w="1477"/>
        <w:gridCol w:w="1477"/>
        <w:gridCol w:w="2104"/>
      </w:tblGrid>
      <w:tr>
        <w:trPr/>
        <w:tc>
          <w:tcPr>
            <w:tcW w:w="1674"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2104" w:type="dxa"/>
            <w:tcBorders/>
            <w:vAlign w:val="center"/>
          </w:tcPr>
          <w:p>
            <w:pPr>
              <w:pStyle w:val="TableContents"/>
              <w:bidi w:val="0"/>
              <w:spacing w:before="0" w:after="283"/>
              <w:jc w:val="left"/>
              <w:rPr>
                <w:sz w:val="4"/>
                <w:szCs w:val="4"/>
              </w:rPr>
            </w:pPr>
            <w:r>
              <w:rPr>
                <w:sz w:val="4"/>
                <w:szCs w:val="4"/>
              </w:rPr>
            </w:r>
          </w:p>
        </w:tc>
      </w:tr>
      <w:tr>
        <w:trPr/>
        <w:tc>
          <w:tcPr>
            <w:tcW w:w="9686" w:type="dxa"/>
            <w:gridSpan w:val="6"/>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i/>
                <w:color w:val="000000"/>
                <w:sz w:val="24"/>
              </w:rPr>
            </w:pPr>
            <w:r>
              <w:rPr>
                <w:rFonts w:ascii="Times New Roman;serif" w:hAnsi="Times New Roman;serif"/>
                <w:b w:val="false"/>
                <w:i/>
                <w:color w:val="000000"/>
                <w:sz w:val="24"/>
              </w:rPr>
              <w:t>Arbor Realty Trust Reports Second Quarter 2026 Results and Declares Dividend of $0.17 per Share</w:t>
            </w:r>
          </w:p>
        </w:tc>
      </w:tr>
      <w:tr>
        <w:trPr/>
        <w:tc>
          <w:tcPr>
            <w:tcW w:w="4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8"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i/>
                <w:color w:val="000000"/>
                <w:sz w:val="24"/>
              </w:rPr>
            </w:pPr>
            <w:r>
              <w:rPr>
                <w:rFonts w:ascii="Times New Roman;serif" w:hAnsi="Times New Roman;serif"/>
                <w:b w:val="false"/>
                <w:i/>
                <w:color w:val="000000"/>
                <w:sz w:val="24"/>
              </w:rPr>
              <w:t>July 31, 2026</w:t>
            </w:r>
          </w:p>
        </w:tc>
        <w:tc>
          <w:tcPr>
            <w:tcW w:w="5058"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i/>
                <w:color w:val="000000"/>
                <w:sz w:val="24"/>
              </w:rPr>
            </w:pPr>
            <w:r>
              <w:rPr>
                <w:rFonts w:ascii="Times New Roman;serif" w:hAnsi="Times New Roman;serif"/>
                <w:b w:val="false"/>
                <w:i/>
                <w:color w:val="000000"/>
                <w:sz w:val="24"/>
              </w:rPr>
              <w:t>Page 3</w:t>
            </w:r>
          </w:p>
        </w:tc>
      </w:tr>
    </w:tbl>
    <w:tbl>
      <w:tblPr>
        <w:tblW w:w="10205" w:type="dxa"/>
        <w:jc w:val="left"/>
        <w:tblInd w:w="0" w:type="dxa"/>
        <w:tblLayout w:type="fixed"/>
        <w:tblCellMar>
          <w:top w:w="28" w:type="dxa"/>
          <w:left w:w="28" w:type="dxa"/>
          <w:bottom w:w="28" w:type="dxa"/>
          <w:right w:w="28" w:type="dxa"/>
        </w:tblCellMar>
      </w:tblPr>
      <w:tblGrid>
        <w:gridCol w:w="533"/>
        <w:gridCol w:w="461"/>
        <w:gridCol w:w="341"/>
        <w:gridCol w:w="226"/>
        <w:gridCol w:w="1246"/>
        <w:gridCol w:w="109"/>
        <w:gridCol w:w="109"/>
        <w:gridCol w:w="109"/>
        <w:gridCol w:w="109"/>
        <w:gridCol w:w="317"/>
        <w:gridCol w:w="307"/>
        <w:gridCol w:w="309"/>
        <w:gridCol w:w="109"/>
        <w:gridCol w:w="109"/>
        <w:gridCol w:w="109"/>
        <w:gridCol w:w="359"/>
        <w:gridCol w:w="359"/>
        <w:gridCol w:w="360"/>
        <w:gridCol w:w="109"/>
        <w:gridCol w:w="109"/>
        <w:gridCol w:w="109"/>
        <w:gridCol w:w="226"/>
        <w:gridCol w:w="1246"/>
        <w:gridCol w:w="109"/>
        <w:gridCol w:w="109"/>
        <w:gridCol w:w="109"/>
        <w:gridCol w:w="109"/>
        <w:gridCol w:w="317"/>
        <w:gridCol w:w="307"/>
        <w:gridCol w:w="309"/>
        <w:gridCol w:w="109"/>
        <w:gridCol w:w="109"/>
        <w:gridCol w:w="109"/>
        <w:gridCol w:w="329"/>
        <w:gridCol w:w="329"/>
        <w:gridCol w:w="471"/>
      </w:tblGrid>
      <w:tr>
        <w:trPr/>
        <w:tc>
          <w:tcPr>
            <w:tcW w:w="533"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8870"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Fee-Based Servicing Portfolio ($ in thousands)</w:t>
            </w:r>
          </w:p>
        </w:tc>
      </w:tr>
      <w:tr>
        <w:trPr/>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4246"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7"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r>
      <w:tr>
        <w:trPr/>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5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UPB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Wtd. Avg. Fee (bps)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Wtd. Avg. 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UPB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Wtd. Avg. Fee (bps)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Wtd. Avg. Life (years)</w:t>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Fannie Mae</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24,419,734 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43.9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24,261,724 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44.4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5.4</w:t>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Freddie Mac</w:t>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7,672,121 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17.6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7,368,979 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18.2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5.7</w:t>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Private Label</w:t>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2,477,077 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18.7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2,554,209 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18.7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4.3</w:t>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FHA</w:t>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1,585,871 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13.8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18.9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1,584,644 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13.8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19.0</w:t>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Bridge</w:t>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277,333 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277,523 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2.0</w:t>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SFR-Fixed Rate</w:t>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272,226 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264,008 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3.8</w:t>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Total</w:t>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2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36,704,362 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35.0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2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36,311,087 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35.5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5.9</w:t>
            </w:r>
          </w:p>
        </w:tc>
      </w:tr>
    </w:tbl>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Loans sold under the Fannie Mae program contain an obligation to partially guarantee the performance of the loan (“loss-sharing obligations”) and includes $36.6 million for the fair value of the guarantee obligation undertaken at June 30, 2026. The Company recorded a $12.9 million net provision for loss sharing associated with CECL for the second quarter of 2026. At June 30, 2026, the Company’s total CECL allowance for loss-sharing obligations was $82.3 million, representing 0.34% of the Fannie Mae servicing portfolio.</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9686" w:type="dxa"/>
        <w:jc w:val="left"/>
        <w:tblInd w:w="0" w:type="dxa"/>
        <w:tblLayout w:type="fixed"/>
        <w:tblCellMar>
          <w:top w:w="28" w:type="dxa"/>
          <w:left w:w="28" w:type="dxa"/>
          <w:bottom w:w="28" w:type="dxa"/>
          <w:right w:w="28" w:type="dxa"/>
        </w:tblCellMar>
      </w:tblPr>
      <w:tblGrid>
        <w:gridCol w:w="1674"/>
        <w:gridCol w:w="1477"/>
        <w:gridCol w:w="1477"/>
        <w:gridCol w:w="1477"/>
        <w:gridCol w:w="1477"/>
        <w:gridCol w:w="2104"/>
      </w:tblGrid>
      <w:tr>
        <w:trPr/>
        <w:tc>
          <w:tcPr>
            <w:tcW w:w="1674"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2104" w:type="dxa"/>
            <w:tcBorders/>
            <w:vAlign w:val="center"/>
          </w:tcPr>
          <w:p>
            <w:pPr>
              <w:pStyle w:val="TableContents"/>
              <w:bidi w:val="0"/>
              <w:spacing w:before="0" w:after="283"/>
              <w:jc w:val="left"/>
              <w:rPr>
                <w:sz w:val="4"/>
                <w:szCs w:val="4"/>
              </w:rPr>
            </w:pPr>
            <w:r>
              <w:rPr>
                <w:sz w:val="4"/>
                <w:szCs w:val="4"/>
              </w:rPr>
            </w:r>
          </w:p>
        </w:tc>
      </w:tr>
      <w:tr>
        <w:trPr/>
        <w:tc>
          <w:tcPr>
            <w:tcW w:w="9686" w:type="dxa"/>
            <w:gridSpan w:val="6"/>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i/>
                <w:color w:val="000000"/>
                <w:sz w:val="24"/>
              </w:rPr>
            </w:pPr>
            <w:r>
              <w:rPr>
                <w:rFonts w:ascii="Times New Roman;serif" w:hAnsi="Times New Roman;serif"/>
                <w:b w:val="false"/>
                <w:i/>
                <w:color w:val="000000"/>
                <w:sz w:val="24"/>
              </w:rPr>
              <w:t>Arbor Realty Trust Reports Second Quarter 2026 Results and Declares Dividend of $0.17 per Share</w:t>
            </w:r>
          </w:p>
        </w:tc>
      </w:tr>
      <w:tr>
        <w:trPr/>
        <w:tc>
          <w:tcPr>
            <w:tcW w:w="4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8"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i/>
                <w:color w:val="000000"/>
                <w:sz w:val="24"/>
              </w:rPr>
            </w:pPr>
            <w:r>
              <w:rPr>
                <w:rFonts w:ascii="Times New Roman;serif" w:hAnsi="Times New Roman;serif"/>
                <w:b w:val="false"/>
                <w:i/>
                <w:color w:val="000000"/>
                <w:sz w:val="24"/>
              </w:rPr>
              <w:t>July 31, 2026</w:t>
            </w:r>
          </w:p>
        </w:tc>
        <w:tc>
          <w:tcPr>
            <w:tcW w:w="5058"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i/>
                <w:color w:val="000000"/>
                <w:sz w:val="24"/>
              </w:rPr>
            </w:pPr>
            <w:r>
              <w:rPr>
                <w:rFonts w:ascii="Times New Roman;serif" w:hAnsi="Times New Roman;serif"/>
                <w:b w:val="false"/>
                <w:i/>
                <w:color w:val="000000"/>
                <w:sz w:val="24"/>
              </w:rPr>
              <w:t>Page 4</w:t>
            </w:r>
          </w:p>
        </w:tc>
      </w:tr>
    </w:tbl>
    <w:p>
      <w:pPr>
        <w:pStyle w:val="TextBody"/>
        <w:bidi w:val="0"/>
        <w:spacing w:lineRule="auto" w:line="288" w:before="240" w:after="283"/>
        <w:jc w:val="both"/>
        <w:rPr>
          <w:rFonts w:ascii="Times New Roman;serif" w:hAnsi="Times New Roman;serif"/>
          <w:b/>
          <w:color w:val="000000"/>
          <w:sz w:val="24"/>
          <w:u w:val="single"/>
        </w:rPr>
      </w:pPr>
      <w:r>
        <w:rPr>
          <w:rFonts w:ascii="Times New Roman;serif" w:hAnsi="Times New Roman;serif"/>
          <w:b/>
          <w:color w:val="000000"/>
          <w:sz w:val="24"/>
          <w:u w:val="single"/>
        </w:rPr>
        <w:t>Structured Business</w:t>
      </w:r>
    </w:p>
    <w:p>
      <w:pPr>
        <w:pStyle w:val="TextBody"/>
        <w:bidi w:val="0"/>
        <w:spacing w:lineRule="auto" w:line="288" w:before="240" w:after="283"/>
        <w:jc w:val="both"/>
        <w:rPr>
          <w:rFonts w:ascii="Times New Roman;serif" w:hAnsi="Times New Roman;serif"/>
          <w:b/>
          <w:i/>
          <w:color w:val="000000"/>
          <w:sz w:val="24"/>
        </w:rPr>
      </w:pPr>
      <w:r>
        <w:rPr>
          <w:rFonts w:ascii="Times New Roman;serif" w:hAnsi="Times New Roman;serif"/>
          <w:b/>
          <w:i/>
          <w:color w:val="000000"/>
          <w:sz w:val="24"/>
        </w:rPr>
        <w:t>Portfolio and Investment Activity</w:t>
      </w:r>
    </w:p>
    <w:tbl>
      <w:tblPr>
        <w:tblW w:w="7986" w:type="dxa"/>
        <w:jc w:val="left"/>
        <w:tblInd w:w="0" w:type="dxa"/>
        <w:tblLayout w:type="fixed"/>
        <w:tblCellMar>
          <w:top w:w="28" w:type="dxa"/>
          <w:left w:w="28" w:type="dxa"/>
          <w:bottom w:w="28" w:type="dxa"/>
          <w:right w:w="28" w:type="dxa"/>
        </w:tblCellMar>
      </w:tblPr>
      <w:tblGrid>
        <w:gridCol w:w="1034"/>
        <w:gridCol w:w="910"/>
        <w:gridCol w:w="920"/>
        <w:gridCol w:w="226"/>
        <w:gridCol w:w="946"/>
        <w:gridCol w:w="109"/>
        <w:gridCol w:w="109"/>
        <w:gridCol w:w="109"/>
        <w:gridCol w:w="109"/>
        <w:gridCol w:w="233"/>
        <w:gridCol w:w="233"/>
        <w:gridCol w:w="301"/>
        <w:gridCol w:w="109"/>
        <w:gridCol w:w="109"/>
        <w:gridCol w:w="109"/>
        <w:gridCol w:w="226"/>
        <w:gridCol w:w="946"/>
        <w:gridCol w:w="109"/>
        <w:gridCol w:w="109"/>
        <w:gridCol w:w="109"/>
        <w:gridCol w:w="109"/>
        <w:gridCol w:w="233"/>
        <w:gridCol w:w="233"/>
        <w:gridCol w:w="346"/>
      </w:tblGrid>
      <w:tr>
        <w:trPr/>
        <w:tc>
          <w:tcPr>
            <w:tcW w:w="1034"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512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Structured Portfolio Activity ($ in thousands) </w:t>
            </w:r>
          </w:p>
        </w:tc>
      </w:tr>
      <w:tr>
        <w:trPr/>
        <w:tc>
          <w:tcPr>
            <w:tcW w:w="286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5122" w:type="dxa"/>
            <w:gridSpan w:val="21"/>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Quarter Ended </w:t>
            </w:r>
          </w:p>
        </w:tc>
      </w:tr>
      <w:tr>
        <w:trPr/>
        <w:tc>
          <w:tcPr>
            <w:tcW w:w="286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37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r>
      <w:tr>
        <w:trPr/>
        <w:tc>
          <w:tcPr>
            <w:tcW w:w="286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2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UPB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UPB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 </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Bridge:</w:t>
            </w:r>
          </w:p>
        </w:tc>
        <w:tc>
          <w:tcPr>
            <w:tcW w:w="128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SFR</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490,617 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71</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321,122 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42</w:t>
            </w:r>
          </w:p>
        </w:tc>
        <w:tc>
          <w:tcPr>
            <w:tcW w:w="3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Multifamily</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159,550 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23</w:t>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405,600 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53</w:t>
            </w:r>
          </w:p>
        </w:tc>
        <w:tc>
          <w:tcPr>
            <w:tcW w:w="3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650,167 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94</w:t>
            </w:r>
          </w:p>
        </w:tc>
        <w:tc>
          <w:tcPr>
            <w:tcW w:w="3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726,722 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95</w:t>
            </w:r>
          </w:p>
        </w:tc>
        <w:tc>
          <w:tcPr>
            <w:tcW w:w="3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Construction - Multifamily</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38,810 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6</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40,870 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5</w:t>
            </w:r>
          </w:p>
        </w:tc>
        <w:tc>
          <w:tcPr>
            <w:tcW w:w="3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Total Originations</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688,977 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100</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767,592 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100</w:t>
            </w:r>
          </w:p>
        </w:tc>
        <w:tc>
          <w:tcPr>
            <w:tcW w:w="3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Number of Loans Originated</w:t>
            </w:r>
          </w:p>
        </w:tc>
        <w:tc>
          <w:tcPr>
            <w:tcW w:w="12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Commitments:</w:t>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SFR</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48,785 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53,000 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Construction - Multifamily</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113,070 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Total Commitments</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9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48,785 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9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166,070 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Loan Runoff</w:t>
            </w:r>
          </w:p>
        </w:tc>
        <w:tc>
          <w:tcPr>
            <w:tcW w:w="2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94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539,745 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94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861,033 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bl>
    <w:p>
      <w:pPr>
        <w:pStyle w:val="TextBody"/>
        <w:bidi w:val="0"/>
        <w:spacing w:before="240" w:after="283"/>
        <w:jc w:val="left"/>
        <w:rPr/>
      </w:pPr>
      <w:r>
        <w:rPr/>
      </w:r>
    </w:p>
    <w:tbl>
      <w:tblPr>
        <w:tblW w:w="8496" w:type="dxa"/>
        <w:jc w:val="left"/>
        <w:tblInd w:w="0" w:type="dxa"/>
        <w:tblLayout w:type="fixed"/>
        <w:tblCellMar>
          <w:top w:w="28" w:type="dxa"/>
          <w:left w:w="28" w:type="dxa"/>
          <w:bottom w:w="28" w:type="dxa"/>
          <w:right w:w="28" w:type="dxa"/>
        </w:tblCellMar>
      </w:tblPr>
      <w:tblGrid>
        <w:gridCol w:w="1003"/>
        <w:gridCol w:w="883"/>
        <w:gridCol w:w="888"/>
        <w:gridCol w:w="226"/>
        <w:gridCol w:w="1246"/>
        <w:gridCol w:w="109"/>
        <w:gridCol w:w="109"/>
        <w:gridCol w:w="109"/>
        <w:gridCol w:w="109"/>
        <w:gridCol w:w="233"/>
        <w:gridCol w:w="233"/>
        <w:gridCol w:w="301"/>
        <w:gridCol w:w="109"/>
        <w:gridCol w:w="109"/>
        <w:gridCol w:w="109"/>
        <w:gridCol w:w="226"/>
        <w:gridCol w:w="1246"/>
        <w:gridCol w:w="109"/>
        <w:gridCol w:w="109"/>
        <w:gridCol w:w="109"/>
        <w:gridCol w:w="109"/>
        <w:gridCol w:w="233"/>
        <w:gridCol w:w="233"/>
        <w:gridCol w:w="346"/>
      </w:tblGrid>
      <w:tr>
        <w:trPr/>
        <w:tc>
          <w:tcPr>
            <w:tcW w:w="100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Structured Portfolio ($ in thousands) </w:t>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UPB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UPB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 </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Bridge:</w:t>
            </w:r>
          </w:p>
        </w:tc>
        <w:tc>
          <w:tcPr>
            <w:tcW w:w="158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Multifamily</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2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7,895,187 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65</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2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7,897,122 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66</w:t>
            </w:r>
          </w:p>
        </w:tc>
        <w:tc>
          <w:tcPr>
            <w:tcW w:w="3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SFR</w:t>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3,376,845 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28</w:t>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3,265,802 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27</w:t>
            </w:r>
          </w:p>
        </w:tc>
        <w:tc>
          <w:tcPr>
            <w:tcW w:w="3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Other</w:t>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46,519 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&lt;1%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46,519 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&lt;1%</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11,318,551 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94</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11,209,443 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94</w:t>
            </w:r>
          </w:p>
        </w:tc>
        <w:tc>
          <w:tcPr>
            <w:tcW w:w="3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Mezzanine/Preferred Equity</w:t>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502,998 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4</w:t>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497,961 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4</w:t>
            </w:r>
          </w:p>
        </w:tc>
        <w:tc>
          <w:tcPr>
            <w:tcW w:w="3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Construction - Multifamily</w:t>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285,482 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2</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289,889 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2</w:t>
            </w:r>
          </w:p>
        </w:tc>
        <w:tc>
          <w:tcPr>
            <w:tcW w:w="3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2774"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Total Portfolio</w:t>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2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12,107,031 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100</w:t>
            </w:r>
          </w:p>
        </w:tc>
        <w:tc>
          <w:tcPr>
            <w:tcW w:w="3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2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11,997,293 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100</w:t>
            </w:r>
          </w:p>
        </w:tc>
        <w:tc>
          <w:tcPr>
            <w:tcW w:w="3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r>
    </w:tbl>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At June 30, 2026, the loan and investment portfolio’s unpaid principal balance ("UPB"), excluding loan loss reserves, was $12.11 billion, with a weighted average interest rate of 6.50%, compared to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9686" w:type="dxa"/>
        <w:jc w:val="left"/>
        <w:tblInd w:w="0" w:type="dxa"/>
        <w:tblLayout w:type="fixed"/>
        <w:tblCellMar>
          <w:top w:w="28" w:type="dxa"/>
          <w:left w:w="28" w:type="dxa"/>
          <w:bottom w:w="28" w:type="dxa"/>
          <w:right w:w="28" w:type="dxa"/>
        </w:tblCellMar>
      </w:tblPr>
      <w:tblGrid>
        <w:gridCol w:w="1674"/>
        <w:gridCol w:w="1477"/>
        <w:gridCol w:w="1477"/>
        <w:gridCol w:w="1477"/>
        <w:gridCol w:w="1477"/>
        <w:gridCol w:w="2104"/>
      </w:tblGrid>
      <w:tr>
        <w:trPr/>
        <w:tc>
          <w:tcPr>
            <w:tcW w:w="1674"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2104" w:type="dxa"/>
            <w:tcBorders/>
            <w:vAlign w:val="center"/>
          </w:tcPr>
          <w:p>
            <w:pPr>
              <w:pStyle w:val="TableContents"/>
              <w:bidi w:val="0"/>
              <w:spacing w:before="0" w:after="283"/>
              <w:jc w:val="left"/>
              <w:rPr>
                <w:sz w:val="4"/>
                <w:szCs w:val="4"/>
              </w:rPr>
            </w:pPr>
            <w:r>
              <w:rPr>
                <w:sz w:val="4"/>
                <w:szCs w:val="4"/>
              </w:rPr>
            </w:r>
          </w:p>
        </w:tc>
      </w:tr>
      <w:tr>
        <w:trPr/>
        <w:tc>
          <w:tcPr>
            <w:tcW w:w="9686" w:type="dxa"/>
            <w:gridSpan w:val="6"/>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i/>
                <w:color w:val="000000"/>
                <w:sz w:val="24"/>
              </w:rPr>
            </w:pPr>
            <w:r>
              <w:rPr>
                <w:rFonts w:ascii="Times New Roman;serif" w:hAnsi="Times New Roman;serif"/>
                <w:b w:val="false"/>
                <w:i/>
                <w:color w:val="000000"/>
                <w:sz w:val="24"/>
              </w:rPr>
              <w:t>Arbor Realty Trust Reports Second Quarter 2026 Results and Declares Dividend of $0.17 per Share</w:t>
            </w:r>
          </w:p>
        </w:tc>
      </w:tr>
      <w:tr>
        <w:trPr/>
        <w:tc>
          <w:tcPr>
            <w:tcW w:w="4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8"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i/>
                <w:color w:val="000000"/>
                <w:sz w:val="24"/>
              </w:rPr>
            </w:pPr>
            <w:r>
              <w:rPr>
                <w:rFonts w:ascii="Times New Roman;serif" w:hAnsi="Times New Roman;serif"/>
                <w:b w:val="false"/>
                <w:i/>
                <w:color w:val="000000"/>
                <w:sz w:val="24"/>
              </w:rPr>
              <w:t>July 31, 2026</w:t>
            </w:r>
          </w:p>
        </w:tc>
        <w:tc>
          <w:tcPr>
            <w:tcW w:w="5058"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i/>
                <w:color w:val="000000"/>
                <w:sz w:val="24"/>
              </w:rPr>
            </w:pPr>
            <w:r>
              <w:rPr>
                <w:rFonts w:ascii="Times New Roman;serif" w:hAnsi="Times New Roman;serif"/>
                <w:b w:val="false"/>
                <w:i/>
                <w:color w:val="000000"/>
                <w:sz w:val="24"/>
              </w:rPr>
              <w:t>Page 5</w:t>
            </w:r>
          </w:p>
        </w:tc>
      </w:tr>
    </w:tbl>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$12.00 billion and 6.49% at March 31, 2026. Including certain fees earned and costs associated with the loan and investment portfolio, the weighted average interest rate was 6.95% at June 30, 2026, compared to 7.03% at March 31, 2026. </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The average balance of the Company’s loan and investment portfolio during the second quarter of 2026, excluding loan loss reserves, was $12.08 billion with a weighted average yield of 7.21%, compared to $12.04 billion and 7.50% for the first quarter of 2026. The decrease in the weighted average yield was primarily due to less default and back interest collected in the second quarter of 2026, as well as from additional delinquencies and rate modifications in the second quarter of 2026. </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During the second quarter of 2026, the Company recorded a $38.2 million net provision for loan losses associated with CECL. At June 30, 2026, the Company’s total allowance for loan losses was $163.4 million. The Company had nineteen non-performing loans with a UPB of $428.8 million, before related loan loss reserves of $31.1 million, compared to nineteen non-performing loans with a UPB of $481.5 million, before loan loss reserves of $16.1 million at March 31, 2026. In addition, the Company recorded $13.6 million of impairments on two real estate owned properties. </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In addition, at June 30, 2026, the Company had three non-accrual loans with a UPB of $94.9 million that were less than 60 days past due, compared to none at March 31, 2026.</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During the second quarter of 2026, the Company modified 7 loans to borrowers experiencing financial difficulty with a total UPB of $386.9 million, the majority of which had borrowers investing additional capital to recapitalize their deals. </w:t>
      </w:r>
    </w:p>
    <w:p>
      <w:pPr>
        <w:pStyle w:val="TextBody"/>
        <w:bidi w:val="0"/>
        <w:spacing w:lineRule="auto" w:line="288" w:before="240" w:after="60"/>
        <w:jc w:val="both"/>
        <w:rPr>
          <w:rFonts w:ascii="Times New Roman;serif" w:hAnsi="Times New Roman;serif"/>
          <w:b w:val="false"/>
          <w:color w:val="000000"/>
          <w:sz w:val="24"/>
        </w:rPr>
      </w:pPr>
      <w:r>
        <w:rPr>
          <w:rFonts w:ascii="Times New Roman;serif" w:hAnsi="Times New Roman;serif"/>
          <w:b w:val="false"/>
          <w:color w:val="000000"/>
          <w:sz w:val="24"/>
        </w:rPr>
        <w:t>The Company foreclosed on five loans with a UPB totaling $121.4 million, selling two of these foreclosed properties and three existing REO properties for $79.8 million.</w:t>
      </w:r>
    </w:p>
    <w:p>
      <w:pPr>
        <w:pStyle w:val="TextBody"/>
        <w:bidi w:val="0"/>
        <w:spacing w:lineRule="auto" w:line="288" w:before="240" w:after="283"/>
        <w:jc w:val="both"/>
        <w:rPr>
          <w:rFonts w:ascii="Times New Roman;serif" w:hAnsi="Times New Roman;serif"/>
          <w:b/>
          <w:i/>
          <w:color w:val="000000"/>
          <w:sz w:val="24"/>
        </w:rPr>
      </w:pPr>
      <w:r>
        <w:rPr>
          <w:rFonts w:ascii="Times New Roman;serif" w:hAnsi="Times New Roman;serif"/>
          <w:b/>
          <w:i/>
          <w:color w:val="000000"/>
          <w:sz w:val="24"/>
        </w:rPr>
        <w:t>Financing Activity</w:t>
      </w:r>
    </w:p>
    <w:p>
      <w:pPr>
        <w:pStyle w:val="TextBody"/>
        <w:bidi w:val="0"/>
        <w:spacing w:lineRule="auto" w:line="288" w:before="240" w:after="283"/>
        <w:jc w:val="both"/>
        <w:rPr/>
      </w:pPr>
      <w:r>
        <w:rPr>
          <w:rFonts w:ascii="Times New Roman;serif" w:hAnsi="Times New Roman;serif"/>
          <w:b w:val="false"/>
          <w:color w:val="000000"/>
          <w:sz w:val="24"/>
        </w:rPr>
        <w:t>The balance of debt that finances the Company’s loan and investment portfolio at June 30, 2026 was $10.48 billion</w:t>
      </w:r>
      <w:r>
        <w:rPr>
          <w:color w:val="000000"/>
        </w:rPr>
        <w:t xml:space="preserve"> </w:t>
      </w:r>
      <w:r>
        <w:rPr>
          <w:rFonts w:ascii="Times New Roman;serif" w:hAnsi="Times New Roman;serif"/>
          <w:b w:val="false"/>
          <w:color w:val="000000"/>
          <w:sz w:val="24"/>
        </w:rPr>
        <w:t xml:space="preserve">with a weighted average interest rate including fees of 6.38%, as compared to $10.71 billion and a rate of 6.40% at March 31, 2026. </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The average balance of debt that finances the Company’s loan and investment portfolio for the second quarter of 2026 was $10.51 billion, as compared to $10.38 billion for the first quarter of 2026. The average cost of borrowings for the second quarter of 2026 was 6.56%, compared to 6.67% for the first quarter of 2026. The decrease in average cost was primarily due to reduced pricing associated with CLO activity, as well as a decrease in the average SOFR rate in the second quarter of 2026.</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The Company redeemed in full and at par a legacy CLO with $787.0 million of outstanding notes, financing the underlying assets through existing repurchase facilities with significantly improved terms. The transaction enhanced leverage, reduced financing costs and generated approximately $132.3 million of additional liquidity.</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In July 2026, the Company completed an upsized $375.0 million offering of 6.25% convertible senior notes due 2029. The Company is using the offering proceeds to redeem its $270.0 million of 4.50% senior notes due 2026 and to repurchase common stock through two separate transactions: $11.6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9686" w:type="dxa"/>
        <w:jc w:val="left"/>
        <w:tblInd w:w="0" w:type="dxa"/>
        <w:tblLayout w:type="fixed"/>
        <w:tblCellMar>
          <w:top w:w="28" w:type="dxa"/>
          <w:left w:w="28" w:type="dxa"/>
          <w:bottom w:w="28" w:type="dxa"/>
          <w:right w:w="28" w:type="dxa"/>
        </w:tblCellMar>
      </w:tblPr>
      <w:tblGrid>
        <w:gridCol w:w="1674"/>
        <w:gridCol w:w="1477"/>
        <w:gridCol w:w="1477"/>
        <w:gridCol w:w="1477"/>
        <w:gridCol w:w="1477"/>
        <w:gridCol w:w="2104"/>
      </w:tblGrid>
      <w:tr>
        <w:trPr/>
        <w:tc>
          <w:tcPr>
            <w:tcW w:w="1674"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2104" w:type="dxa"/>
            <w:tcBorders/>
            <w:vAlign w:val="center"/>
          </w:tcPr>
          <w:p>
            <w:pPr>
              <w:pStyle w:val="TableContents"/>
              <w:bidi w:val="0"/>
              <w:spacing w:before="0" w:after="283"/>
              <w:jc w:val="left"/>
              <w:rPr>
                <w:sz w:val="4"/>
                <w:szCs w:val="4"/>
              </w:rPr>
            </w:pPr>
            <w:r>
              <w:rPr>
                <w:sz w:val="4"/>
                <w:szCs w:val="4"/>
              </w:rPr>
            </w:r>
          </w:p>
        </w:tc>
      </w:tr>
      <w:tr>
        <w:trPr/>
        <w:tc>
          <w:tcPr>
            <w:tcW w:w="9686" w:type="dxa"/>
            <w:gridSpan w:val="6"/>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i/>
                <w:color w:val="000000"/>
                <w:sz w:val="24"/>
              </w:rPr>
            </w:pPr>
            <w:r>
              <w:rPr>
                <w:rFonts w:ascii="Times New Roman;serif" w:hAnsi="Times New Roman;serif"/>
                <w:b w:val="false"/>
                <w:i/>
                <w:color w:val="000000"/>
                <w:sz w:val="24"/>
              </w:rPr>
              <w:t>Arbor Realty Trust Reports Second Quarter 2026 Results and Declares Dividend of $0.17 per Share</w:t>
            </w:r>
          </w:p>
        </w:tc>
      </w:tr>
      <w:tr>
        <w:trPr/>
        <w:tc>
          <w:tcPr>
            <w:tcW w:w="4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8"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i/>
                <w:color w:val="000000"/>
                <w:sz w:val="24"/>
              </w:rPr>
            </w:pPr>
            <w:r>
              <w:rPr>
                <w:rFonts w:ascii="Times New Roman;serif" w:hAnsi="Times New Roman;serif"/>
                <w:b w:val="false"/>
                <w:i/>
                <w:color w:val="000000"/>
                <w:sz w:val="24"/>
              </w:rPr>
              <w:t>July 31, 2026</w:t>
            </w:r>
          </w:p>
        </w:tc>
        <w:tc>
          <w:tcPr>
            <w:tcW w:w="5058"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i/>
                <w:color w:val="000000"/>
                <w:sz w:val="24"/>
              </w:rPr>
            </w:pPr>
            <w:r>
              <w:rPr>
                <w:rFonts w:ascii="Times New Roman;serif" w:hAnsi="Times New Roman;serif"/>
                <w:b w:val="false"/>
                <w:i/>
                <w:color w:val="000000"/>
                <w:sz w:val="24"/>
              </w:rPr>
              <w:t>Page 6</w:t>
            </w:r>
          </w:p>
        </w:tc>
      </w:tr>
    </w:tbl>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million to repurchase ~2.1 million shares concurrently with the pricing of the offering and $102.7 million to repurchase ~18.9 million shares pursuant to a prepaid forward stock repurchase transaction.</w:t>
      </w:r>
    </w:p>
    <w:p>
      <w:pPr>
        <w:pStyle w:val="TextBody"/>
        <w:bidi w:val="0"/>
        <w:spacing w:lineRule="auto" w:line="288" w:before="240" w:after="283"/>
        <w:jc w:val="both"/>
        <w:rPr>
          <w:rFonts w:ascii="Times New Roman;serif" w:hAnsi="Times New Roman;serif"/>
          <w:b/>
          <w:color w:val="000000"/>
          <w:sz w:val="24"/>
          <w:u w:val="single"/>
        </w:rPr>
      </w:pPr>
      <w:r>
        <w:rPr>
          <w:rFonts w:ascii="Times New Roman;serif" w:hAnsi="Times New Roman;serif"/>
          <w:b/>
          <w:color w:val="000000"/>
          <w:sz w:val="24"/>
          <w:u w:val="single"/>
        </w:rPr>
        <w:t>Dividend</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The Company announced today that its Board of Directors has declared a quarterly cash dividend of $0.17 per share of common stock for the quarter ended June 30, 2026. The dividend is payable on August 28, 2026 to common stockholders of record on August 14, 2026. </w:t>
      </w:r>
    </w:p>
    <w:p>
      <w:pPr>
        <w:pStyle w:val="TextBody"/>
        <w:bidi w:val="0"/>
        <w:spacing w:lineRule="auto" w:line="288" w:before="240" w:after="283"/>
        <w:jc w:val="both"/>
        <w:rPr>
          <w:rFonts w:ascii="Times New Roman;serif" w:hAnsi="Times New Roman;serif"/>
          <w:b/>
          <w:color w:val="000000"/>
          <w:sz w:val="24"/>
          <w:u w:val="single"/>
        </w:rPr>
      </w:pPr>
      <w:r>
        <w:rPr>
          <w:rFonts w:ascii="Times New Roman;serif" w:hAnsi="Times New Roman;serif"/>
          <w:b/>
          <w:color w:val="000000"/>
          <w:sz w:val="24"/>
          <w:u w:val="single"/>
        </w:rPr>
        <w:t>Earnings Conference Call</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The Company will host a conference call today at 10:00 a.m. Eastern Time. A live webcast and replay of the conference call will be available at www.arbor.com in the investor relations section of the Company’s website, or you can access the call telephonically at least ten minutes prior to the conference call. The dial-in numbers are (833) 419-0865 for domestic callers and (785) 838-9333 for international callers. Please use participant passcode ABRQ226 when prompted by the operator.</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A telephonic replay of the call will be available until August 7, 2026. The replay dial-in numbers are (800) 925-9416 for domestic callers and (402) 220-5387 for international callers.</w:t>
      </w:r>
    </w:p>
    <w:p>
      <w:pPr>
        <w:pStyle w:val="TextBody"/>
        <w:bidi w:val="0"/>
        <w:spacing w:lineRule="auto" w:line="288" w:before="240" w:after="283"/>
        <w:jc w:val="both"/>
        <w:rPr>
          <w:rFonts w:ascii="Times New Roman;serif" w:hAnsi="Times New Roman;serif"/>
          <w:b/>
          <w:color w:val="000000"/>
          <w:sz w:val="24"/>
          <w:u w:val="single"/>
        </w:rPr>
      </w:pPr>
      <w:r>
        <w:rPr>
          <w:rFonts w:ascii="Times New Roman;serif" w:hAnsi="Times New Roman;serif"/>
          <w:b/>
          <w:color w:val="000000"/>
          <w:sz w:val="24"/>
          <w:u w:val="single"/>
        </w:rPr>
        <w:t>About Arbor Realty Trust, Inc.</w:t>
      </w:r>
    </w:p>
    <w:p>
      <w:pPr>
        <w:pStyle w:val="TextBody"/>
        <w:bidi w:val="0"/>
        <w:spacing w:lineRule="auto" w:line="288" w:before="240" w:after="283"/>
        <w:jc w:val="both"/>
        <w:rPr/>
      </w:pPr>
      <w:r>
        <w:rPr>
          <w:rFonts w:ascii="Times New Roman;serif" w:hAnsi="Times New Roman;serif"/>
          <w:b w:val="false"/>
          <w:color w:val="000000"/>
          <w:sz w:val="24"/>
          <w:u w:val="single"/>
        </w:rPr>
        <w:t>Arbor Realty Trust, Inc.</w:t>
      </w:r>
      <w:r>
        <w:rPr>
          <w:color w:val="000000"/>
        </w:rPr>
        <w:t xml:space="preserve"> </w:t>
      </w:r>
      <w:r>
        <w:rPr>
          <w:rFonts w:ascii="Times New Roman;serif" w:hAnsi="Times New Roman;serif"/>
          <w:b w:val="false"/>
          <w:color w:val="000000"/>
          <w:sz w:val="24"/>
        </w:rPr>
        <w:t xml:space="preserve">(NYSE: </w:t>
      </w:r>
      <w:r>
        <w:rPr>
          <w:rFonts w:ascii="Times New Roman;serif" w:hAnsi="Times New Roman;serif"/>
          <w:b w:val="false"/>
          <w:color w:val="000000"/>
          <w:sz w:val="24"/>
          <w:u w:val="single"/>
        </w:rPr>
        <w:t>ABR</w:t>
      </w:r>
      <w:r>
        <w:rPr>
          <w:rFonts w:ascii="Times New Roman;serif" w:hAnsi="Times New Roman;serif"/>
          <w:b w:val="false"/>
          <w:color w:val="000000"/>
          <w:sz w:val="24"/>
        </w:rPr>
        <w:t xml:space="preserve">) is a nationwide real estate investment trust and direct lender, providing loan origination and servicing for multifamily, single-family rental (SFR) portfolios, and other diverse commercial real estate assets. Headquartered in New York, Arbor manages a multibillion-dollar servicing portfolio, specializing in government-sponsored enterprise products. Arbor is a leading </w:t>
      </w:r>
      <w:r>
        <w:rPr>
          <w:rFonts w:ascii="Times New Roman;serif" w:hAnsi="Times New Roman;serif"/>
          <w:b w:val="false"/>
          <w:color w:val="000000"/>
          <w:sz w:val="24"/>
          <w:u w:val="single"/>
        </w:rPr>
        <w:t>Fannie Mae DUS®</w:t>
      </w:r>
      <w:r>
        <w:rPr>
          <w:color w:val="000000"/>
        </w:rPr>
        <w:t xml:space="preserve"> </w:t>
      </w:r>
      <w:r>
        <w:rPr>
          <w:rFonts w:ascii="Times New Roman;serif" w:hAnsi="Times New Roman;serif"/>
          <w:b w:val="false"/>
          <w:color w:val="000000"/>
          <w:sz w:val="24"/>
        </w:rPr>
        <w:t xml:space="preserve">lender and </w:t>
      </w:r>
      <w:r>
        <w:rPr>
          <w:rFonts w:ascii="Times New Roman;serif" w:hAnsi="Times New Roman;serif"/>
          <w:b w:val="false"/>
          <w:color w:val="000000"/>
          <w:sz w:val="24"/>
          <w:u w:val="single"/>
        </w:rPr>
        <w:t>Freddie Mac Optigo®</w:t>
      </w:r>
      <w:r>
        <w:rPr>
          <w:color w:val="000000"/>
        </w:rPr>
        <w:t xml:space="preserve"> </w:t>
      </w:r>
      <w:r>
        <w:rPr>
          <w:rFonts w:ascii="Times New Roman;serif" w:hAnsi="Times New Roman;serif"/>
          <w:b w:val="false"/>
          <w:color w:val="000000"/>
          <w:sz w:val="24"/>
        </w:rPr>
        <w:t xml:space="preserve">Seller/Servicer, and an approved FHA Multifamily Accelerated Processing (MAP) lender. Arbor’s product platform also includes </w:t>
      </w:r>
      <w:r>
        <w:rPr>
          <w:rFonts w:ascii="Times New Roman;serif" w:hAnsi="Times New Roman;serif"/>
          <w:b w:val="false"/>
          <w:color w:val="000000"/>
          <w:sz w:val="24"/>
          <w:u w:val="single"/>
        </w:rPr>
        <w:t>bridge</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CMBS</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mezzanine and preferred equity</w:t>
      </w:r>
      <w:r>
        <w:rPr>
          <w:color w:val="000000"/>
        </w:rPr>
        <w:t xml:space="preserve"> </w:t>
      </w:r>
      <w:r>
        <w:rPr>
          <w:rFonts w:ascii="Times New Roman;serif" w:hAnsi="Times New Roman;serif"/>
          <w:b w:val="false"/>
          <w:color w:val="000000"/>
          <w:sz w:val="24"/>
        </w:rPr>
        <w:t>loans. Rated by Standard and Poor’s and Fitch Ratings, Arbor is committed to building on its reputation for service, quality, and customized solutions with an unparalleled dedication to providing our clients excellence over the entire life of a loan.</w:t>
      </w:r>
    </w:p>
    <w:p>
      <w:pPr>
        <w:pStyle w:val="TextBody"/>
        <w:bidi w:val="0"/>
        <w:spacing w:lineRule="auto" w:line="288" w:before="240" w:after="283"/>
        <w:jc w:val="both"/>
        <w:rPr>
          <w:rFonts w:ascii="Times New Roman;serif" w:hAnsi="Times New Roman;serif"/>
          <w:b/>
          <w:color w:val="000000"/>
          <w:sz w:val="24"/>
          <w:u w:val="single"/>
        </w:rPr>
      </w:pPr>
      <w:r>
        <w:rPr>
          <w:rFonts w:ascii="Times New Roman;serif" w:hAnsi="Times New Roman;serif"/>
          <w:b/>
          <w:color w:val="000000"/>
          <w:sz w:val="24"/>
          <w:u w:val="single"/>
        </w:rPr>
        <w:t>Safe Harbor Statement</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Certain items in this press release may constitute forward-looking statements within the meaning of the “safe harbor” provisions of the Private Securities Litigation Reform Act of 1995. These statements are based on management’s current expectations and beliefs and are subject to a number of trends and uncertainties that could cause actual results to differ materially from those described in the forward-looking statements. Arbor can give no assurance that its expectations will be attained. Factors that could cause actual results to differ materially from Arbor’s expectations include, but are not limited to, changes in economic conditions generally, and the real estate markets specifically, continued ability to source new investments, changes in interest rates and/or credit spreads, and other risks detailed in Arbor’s Annual Report on Form 10-K for the year ended December 31, 2025 and its other reports filed with the SEC. Such forward-looking statements speak only as of the date of this press release. Arbor expressly disclaims any obligation or undertaking to release publicly any updates or revisions to any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9686" w:type="dxa"/>
        <w:jc w:val="left"/>
        <w:tblInd w:w="0" w:type="dxa"/>
        <w:tblLayout w:type="fixed"/>
        <w:tblCellMar>
          <w:top w:w="28" w:type="dxa"/>
          <w:left w:w="28" w:type="dxa"/>
          <w:bottom w:w="28" w:type="dxa"/>
          <w:right w:w="28" w:type="dxa"/>
        </w:tblCellMar>
      </w:tblPr>
      <w:tblGrid>
        <w:gridCol w:w="1674"/>
        <w:gridCol w:w="1477"/>
        <w:gridCol w:w="1477"/>
        <w:gridCol w:w="1477"/>
        <w:gridCol w:w="1477"/>
        <w:gridCol w:w="2104"/>
      </w:tblGrid>
      <w:tr>
        <w:trPr/>
        <w:tc>
          <w:tcPr>
            <w:tcW w:w="1674"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2104" w:type="dxa"/>
            <w:tcBorders/>
            <w:vAlign w:val="center"/>
          </w:tcPr>
          <w:p>
            <w:pPr>
              <w:pStyle w:val="TableContents"/>
              <w:bidi w:val="0"/>
              <w:spacing w:before="0" w:after="283"/>
              <w:jc w:val="left"/>
              <w:rPr>
                <w:sz w:val="4"/>
                <w:szCs w:val="4"/>
              </w:rPr>
            </w:pPr>
            <w:r>
              <w:rPr>
                <w:sz w:val="4"/>
                <w:szCs w:val="4"/>
              </w:rPr>
            </w:r>
          </w:p>
        </w:tc>
      </w:tr>
      <w:tr>
        <w:trPr/>
        <w:tc>
          <w:tcPr>
            <w:tcW w:w="9686" w:type="dxa"/>
            <w:gridSpan w:val="6"/>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i/>
                <w:color w:val="000000"/>
                <w:sz w:val="24"/>
              </w:rPr>
            </w:pPr>
            <w:r>
              <w:rPr>
                <w:rFonts w:ascii="Times New Roman;serif" w:hAnsi="Times New Roman;serif"/>
                <w:b w:val="false"/>
                <w:i/>
                <w:color w:val="000000"/>
                <w:sz w:val="24"/>
              </w:rPr>
              <w:t>Arbor Realty Trust Reports Second Quarter 2026 Results and Declares Dividend of $0.17 per Share</w:t>
            </w:r>
          </w:p>
        </w:tc>
      </w:tr>
      <w:tr>
        <w:trPr/>
        <w:tc>
          <w:tcPr>
            <w:tcW w:w="4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8"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i/>
                <w:color w:val="000000"/>
                <w:sz w:val="24"/>
              </w:rPr>
            </w:pPr>
            <w:r>
              <w:rPr>
                <w:rFonts w:ascii="Times New Roman;serif" w:hAnsi="Times New Roman;serif"/>
                <w:b w:val="false"/>
                <w:i/>
                <w:color w:val="000000"/>
                <w:sz w:val="24"/>
              </w:rPr>
              <w:t>July 31, 2026</w:t>
            </w:r>
          </w:p>
        </w:tc>
        <w:tc>
          <w:tcPr>
            <w:tcW w:w="5058"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i/>
                <w:color w:val="000000"/>
                <w:sz w:val="24"/>
              </w:rPr>
            </w:pPr>
            <w:r>
              <w:rPr>
                <w:rFonts w:ascii="Times New Roman;serif" w:hAnsi="Times New Roman;serif"/>
                <w:b w:val="false"/>
                <w:i/>
                <w:color w:val="000000"/>
                <w:sz w:val="24"/>
              </w:rPr>
              <w:t>Page 7</w:t>
            </w:r>
          </w:p>
        </w:tc>
      </w:tr>
    </w:tbl>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forward-looking statements contained herein to reflect any change in Arbor’s expectations with regard thereto or change in events, conditions, or circumstances on which any such statement is based.</w:t>
      </w:r>
    </w:p>
    <w:p>
      <w:pPr>
        <w:pStyle w:val="TextBody"/>
        <w:bidi w:val="0"/>
        <w:spacing w:lineRule="auto" w:line="288" w:before="240" w:after="283"/>
        <w:jc w:val="both"/>
        <w:rPr>
          <w:rFonts w:ascii="Times New Roman;serif" w:hAnsi="Times New Roman;serif"/>
          <w:b/>
          <w:color w:val="000000"/>
          <w:sz w:val="24"/>
          <w:u w:val="single"/>
        </w:rPr>
      </w:pPr>
      <w:r>
        <w:rPr>
          <w:rFonts w:ascii="Times New Roman;serif" w:hAnsi="Times New Roman;serif"/>
          <w:b/>
          <w:color w:val="000000"/>
          <w:sz w:val="24"/>
          <w:u w:val="single"/>
        </w:rPr>
        <w:t>Notes</w:t>
      </w:r>
    </w:p>
    <w:p>
      <w:pPr>
        <w:pStyle w:val="TextBody"/>
        <w:bidi w:val="0"/>
        <w:spacing w:lineRule="auto" w:line="288" w:before="240" w:after="283"/>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1.During the quarterly earnings conference call, the Company may discuss non-GAAP financial measures as defined by SEC Regulation G. In addition, the Company has used non-GAAP financial measures in this press release. A supplemental schedule of non-GAAP financial measures and the comparable GAAP financial measure can be found on the last two pages of this release.</w:t>
      </w:r>
    </w:p>
    <w:p>
      <w:pPr>
        <w:pStyle w:val="TextBody"/>
        <w:bidi w:val="0"/>
        <w:spacing w:before="0" w:after="0"/>
        <w:jc w:val="both"/>
        <w:rPr/>
      </w:pPr>
      <w:r>
        <w:rPr/>
      </w:r>
    </w:p>
    <w:tbl>
      <w:tblPr>
        <w:tblW w:w="3901" w:type="dxa"/>
        <w:jc w:val="left"/>
        <w:tblInd w:w="0" w:type="dxa"/>
        <w:tblLayout w:type="fixed"/>
        <w:tblCellMar>
          <w:top w:w="28" w:type="dxa"/>
          <w:left w:w="28" w:type="dxa"/>
          <w:bottom w:w="28" w:type="dxa"/>
          <w:right w:w="28" w:type="dxa"/>
        </w:tblCellMar>
      </w:tblPr>
      <w:tblGrid>
        <w:gridCol w:w="331"/>
        <w:gridCol w:w="291"/>
        <w:gridCol w:w="293"/>
        <w:gridCol w:w="874"/>
        <w:gridCol w:w="874"/>
        <w:gridCol w:w="1238"/>
      </w:tblGrid>
      <w:tr>
        <w:trPr/>
        <w:tc>
          <w:tcPr>
            <w:tcW w:w="3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r>
      <w:tr>
        <w:trPr/>
        <w:tc>
          <w:tcPr>
            <w:tcW w:w="91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Contact:</w:t>
            </w:r>
          </w:p>
        </w:tc>
        <w:tc>
          <w:tcPr>
            <w:tcW w:w="298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Arbor Realty Trust, Inc.</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Investor Relations</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516-506-4200</w:t>
            </w:r>
          </w:p>
          <w:p>
            <w:pPr>
              <w:pStyle w:val="TableContents"/>
              <w:bidi w:val="0"/>
              <w:spacing w:lineRule="auto" w:line="288"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InvestorRelations@arbor.com</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9686" w:type="dxa"/>
        <w:jc w:val="left"/>
        <w:tblInd w:w="0" w:type="dxa"/>
        <w:tblLayout w:type="fixed"/>
        <w:tblCellMar>
          <w:top w:w="28" w:type="dxa"/>
          <w:left w:w="28" w:type="dxa"/>
          <w:bottom w:w="28" w:type="dxa"/>
          <w:right w:w="28" w:type="dxa"/>
        </w:tblCellMar>
      </w:tblPr>
      <w:tblGrid>
        <w:gridCol w:w="1674"/>
        <w:gridCol w:w="1477"/>
        <w:gridCol w:w="1477"/>
        <w:gridCol w:w="1477"/>
        <w:gridCol w:w="1477"/>
        <w:gridCol w:w="2104"/>
      </w:tblGrid>
      <w:tr>
        <w:trPr/>
        <w:tc>
          <w:tcPr>
            <w:tcW w:w="1674"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2104" w:type="dxa"/>
            <w:tcBorders/>
            <w:vAlign w:val="center"/>
          </w:tcPr>
          <w:p>
            <w:pPr>
              <w:pStyle w:val="TableContents"/>
              <w:bidi w:val="0"/>
              <w:spacing w:before="0" w:after="283"/>
              <w:jc w:val="left"/>
              <w:rPr>
                <w:sz w:val="4"/>
                <w:szCs w:val="4"/>
              </w:rPr>
            </w:pPr>
            <w:r>
              <w:rPr>
                <w:sz w:val="4"/>
                <w:szCs w:val="4"/>
              </w:rPr>
            </w:r>
          </w:p>
        </w:tc>
      </w:tr>
      <w:tr>
        <w:trPr/>
        <w:tc>
          <w:tcPr>
            <w:tcW w:w="9686" w:type="dxa"/>
            <w:gridSpan w:val="6"/>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i/>
                <w:color w:val="000000"/>
                <w:sz w:val="24"/>
              </w:rPr>
            </w:pPr>
            <w:r>
              <w:rPr>
                <w:rFonts w:ascii="Times New Roman;serif" w:hAnsi="Times New Roman;serif"/>
                <w:b w:val="false"/>
                <w:i/>
                <w:color w:val="000000"/>
                <w:sz w:val="24"/>
              </w:rPr>
              <w:t>Arbor Realty Trust Reports Second Quarter 2026 Results and Declares Dividend of $0.17 per Share</w:t>
            </w:r>
          </w:p>
        </w:tc>
      </w:tr>
      <w:tr>
        <w:trPr/>
        <w:tc>
          <w:tcPr>
            <w:tcW w:w="4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8"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i/>
                <w:color w:val="000000"/>
                <w:sz w:val="24"/>
              </w:rPr>
            </w:pPr>
            <w:r>
              <w:rPr>
                <w:rFonts w:ascii="Times New Roman;serif" w:hAnsi="Times New Roman;serif"/>
                <w:b w:val="false"/>
                <w:i/>
                <w:color w:val="000000"/>
                <w:sz w:val="24"/>
              </w:rPr>
              <w:t>July 31, 2026</w:t>
            </w:r>
          </w:p>
        </w:tc>
        <w:tc>
          <w:tcPr>
            <w:tcW w:w="5058"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i/>
                <w:color w:val="000000"/>
                <w:sz w:val="24"/>
              </w:rPr>
            </w:pPr>
            <w:r>
              <w:rPr>
                <w:rFonts w:ascii="Times New Roman;serif" w:hAnsi="Times New Roman;serif"/>
                <w:b w:val="false"/>
                <w:i/>
                <w:color w:val="000000"/>
                <w:sz w:val="24"/>
              </w:rPr>
              <w:t>Page 8</w:t>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ARBOR REALTY TRUST, INC. AND SUBSIDIARIES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Consolidated Statements of Operations - (Unaudited)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in thousands—except share and per share data)</w:t>
      </w:r>
    </w:p>
    <w:tbl>
      <w:tblPr>
        <w:tblW w:w="10205" w:type="dxa"/>
        <w:jc w:val="center"/>
        <w:tblInd w:w="0" w:type="dxa"/>
        <w:tblLayout w:type="fixed"/>
        <w:tblCellMar>
          <w:top w:w="28" w:type="dxa"/>
          <w:left w:w="28" w:type="dxa"/>
          <w:bottom w:w="28" w:type="dxa"/>
          <w:right w:w="28" w:type="dxa"/>
        </w:tblCellMar>
      </w:tblPr>
      <w:tblGrid>
        <w:gridCol w:w="1684"/>
        <w:gridCol w:w="1056"/>
        <w:gridCol w:w="1066"/>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943"/>
      </w:tblGrid>
      <w:tr>
        <w:trPr/>
        <w:tc>
          <w:tcPr>
            <w:tcW w:w="1684"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3806"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Quarter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3"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806"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8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230,858 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240,303 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465,905 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480,997 </w:t>
            </w:r>
          </w:p>
        </w:tc>
        <w:tc>
          <w:tcPr>
            <w:tcW w:w="9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firstLine="810"/>
              <w:jc w:val="left"/>
              <w:rPr>
                <w:sz w:val="4"/>
                <w:szCs w:val="4"/>
              </w:rPr>
            </w:pPr>
            <w:r>
              <w:rPr>
                <w:sz w:val="4"/>
                <w:szCs w:val="4"/>
              </w:rPr>
            </w:r>
          </w:p>
        </w:tc>
      </w:tr>
      <w:tr>
        <w:trPr/>
        <w:tc>
          <w:tcPr>
            <w:tcW w:w="38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352,963 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336,829 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income</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53,097 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68,725 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112,942 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144,168 </w:t>
            </w:r>
          </w:p>
        </w:tc>
        <w:tc>
          <w:tcPr>
            <w:tcW w:w="9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Other revenue:</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sales, including fee-based services,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26,439 </w:t>
            </w:r>
          </w:p>
        </w:tc>
        <w:tc>
          <w:tcPr>
            <w:tcW w:w="9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servicing rights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19,061 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Servicing revenue,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53,040 </w:t>
            </w:r>
          </w:p>
        </w:tc>
        <w:tc>
          <w:tcPr>
            <w:tcW w:w="9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operating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9,839 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derivative instruments,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3,619 </w:t>
            </w:r>
          </w:p>
        </w:tc>
        <w:tc>
          <w:tcPr>
            <w:tcW w:w="9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8,407 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revenue</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62,779 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61,685 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120,327 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120,405 </w:t>
            </w:r>
          </w:p>
        </w:tc>
        <w:tc>
          <w:tcPr>
            <w:tcW w:w="9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Other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compensation and benefits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87,217 </w:t>
            </w:r>
          </w:p>
        </w:tc>
        <w:tc>
          <w:tcPr>
            <w:tcW w:w="9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31,171 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operating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10,276 </w:t>
            </w:r>
          </w:p>
        </w:tc>
        <w:tc>
          <w:tcPr>
            <w:tcW w:w="9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9,592 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loss on real estate owned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loss sharing,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6,002 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28,079 </w:t>
            </w:r>
          </w:p>
        </w:tc>
        <w:tc>
          <w:tcPr>
            <w:tcW w:w="9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144,848 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91,909 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251,406 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172,337 </w:t>
            </w:r>
          </w:p>
        </w:tc>
        <w:tc>
          <w:tcPr>
            <w:tcW w:w="9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income before extinguishment of debt, gain (loss) on real estate, income from equity affiliates and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92,236 </w:t>
            </w:r>
          </w:p>
        </w:tc>
        <w:tc>
          <w:tcPr>
            <w:tcW w:w="9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(2,319)</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real estate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(4,258)</w:t>
            </w:r>
          </w:p>
        </w:tc>
        <w:tc>
          <w:tcPr>
            <w:tcW w:w="9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equity affiliates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1,020 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(6,989)</w:t>
            </w:r>
          </w:p>
        </w:tc>
        <w:tc>
          <w:tcPr>
            <w:tcW w:w="9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(30,165)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36,309 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(19,141)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79,690 </w:t>
            </w:r>
          </w:p>
        </w:tc>
        <w:tc>
          <w:tcPr>
            <w:tcW w:w="9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 dividends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20,684 </w:t>
            </w:r>
          </w:p>
        </w:tc>
        <w:tc>
          <w:tcPr>
            <w:tcW w:w="9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attributable to noncontrolling interest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4,617 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attributable to common stockholders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(37,342)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(36,713)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54,389 </w:t>
            </w:r>
          </w:p>
        </w:tc>
        <w:tc>
          <w:tcPr>
            <w:tcW w:w="9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 (loss) earnings per common share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0.28 </w:t>
            </w:r>
          </w:p>
        </w:tc>
        <w:tc>
          <w:tcPr>
            <w:tcW w:w="9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 (loss) earnings per common share</w:t>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(0.20)</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0.12 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(0.19)</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0.28 </w:t>
            </w:r>
          </w:p>
        </w:tc>
        <w:tc>
          <w:tcPr>
            <w:tcW w:w="943"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190,806,800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192,236,206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192,491,494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191,154,501</w:t>
            </w:r>
          </w:p>
        </w:tc>
      </w:tr>
      <w:tr>
        <w:trPr/>
        <w:tc>
          <w:tcPr>
            <w:tcW w:w="38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46"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190,806,800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209,003,002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192,491,494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207,938,574</w:t>
            </w:r>
          </w:p>
        </w:tc>
      </w:tr>
      <w:tr>
        <w:trPr/>
        <w:tc>
          <w:tcPr>
            <w:tcW w:w="38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declared per common share</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0.17 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0.30 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0.47 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0.73 </w:t>
            </w:r>
          </w:p>
        </w:tc>
        <w:tc>
          <w:tcPr>
            <w:tcW w:w="943"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9686" w:type="dxa"/>
        <w:jc w:val="left"/>
        <w:tblInd w:w="0" w:type="dxa"/>
        <w:tblLayout w:type="fixed"/>
        <w:tblCellMar>
          <w:top w:w="28" w:type="dxa"/>
          <w:left w:w="28" w:type="dxa"/>
          <w:bottom w:w="28" w:type="dxa"/>
          <w:right w:w="28" w:type="dxa"/>
        </w:tblCellMar>
      </w:tblPr>
      <w:tblGrid>
        <w:gridCol w:w="1674"/>
        <w:gridCol w:w="1477"/>
        <w:gridCol w:w="1477"/>
        <w:gridCol w:w="1477"/>
        <w:gridCol w:w="1477"/>
        <w:gridCol w:w="2104"/>
      </w:tblGrid>
      <w:tr>
        <w:trPr/>
        <w:tc>
          <w:tcPr>
            <w:tcW w:w="1674"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2104" w:type="dxa"/>
            <w:tcBorders/>
            <w:vAlign w:val="center"/>
          </w:tcPr>
          <w:p>
            <w:pPr>
              <w:pStyle w:val="TableContents"/>
              <w:bidi w:val="0"/>
              <w:spacing w:before="0" w:after="283"/>
              <w:jc w:val="left"/>
              <w:rPr>
                <w:sz w:val="4"/>
                <w:szCs w:val="4"/>
              </w:rPr>
            </w:pPr>
            <w:r>
              <w:rPr>
                <w:sz w:val="4"/>
                <w:szCs w:val="4"/>
              </w:rPr>
            </w:r>
          </w:p>
        </w:tc>
      </w:tr>
      <w:tr>
        <w:trPr/>
        <w:tc>
          <w:tcPr>
            <w:tcW w:w="9686" w:type="dxa"/>
            <w:gridSpan w:val="6"/>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i/>
                <w:color w:val="000000"/>
                <w:sz w:val="24"/>
              </w:rPr>
            </w:pPr>
            <w:r>
              <w:rPr>
                <w:rFonts w:ascii="Times New Roman;serif" w:hAnsi="Times New Roman;serif"/>
                <w:b w:val="false"/>
                <w:i/>
                <w:color w:val="000000"/>
                <w:sz w:val="24"/>
              </w:rPr>
              <w:t>Arbor Realty Trust Reports Second Quarter 2026 Results and Declares Dividend of $0.17 per Share</w:t>
            </w:r>
          </w:p>
        </w:tc>
      </w:tr>
      <w:tr>
        <w:trPr/>
        <w:tc>
          <w:tcPr>
            <w:tcW w:w="4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8"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i/>
                <w:color w:val="000000"/>
                <w:sz w:val="24"/>
              </w:rPr>
            </w:pPr>
            <w:r>
              <w:rPr>
                <w:rFonts w:ascii="Times New Roman;serif" w:hAnsi="Times New Roman;serif"/>
                <w:b w:val="false"/>
                <w:i/>
                <w:color w:val="000000"/>
                <w:sz w:val="24"/>
              </w:rPr>
              <w:t>July 31, 2026</w:t>
            </w:r>
          </w:p>
        </w:tc>
        <w:tc>
          <w:tcPr>
            <w:tcW w:w="5058"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i/>
                <w:color w:val="000000"/>
                <w:sz w:val="24"/>
              </w:rPr>
            </w:pPr>
            <w:r>
              <w:rPr>
                <w:rFonts w:ascii="Times New Roman;serif" w:hAnsi="Times New Roman;serif"/>
                <w:b w:val="false"/>
                <w:i/>
                <w:color w:val="000000"/>
                <w:sz w:val="24"/>
              </w:rPr>
              <w:t>Page 9</w:t>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ARBOR REALTY TRUST, INC. AND SUBSIDIARIES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Consolidated Balance Sheets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in thousands—except share and per share data)</w:t>
      </w:r>
    </w:p>
    <w:tbl>
      <w:tblPr>
        <w:tblW w:w="10205" w:type="dxa"/>
        <w:jc w:val="center"/>
        <w:tblInd w:w="0" w:type="dxa"/>
        <w:tblLayout w:type="fixed"/>
        <w:tblCellMar>
          <w:top w:w="28" w:type="dxa"/>
          <w:left w:w="28" w:type="dxa"/>
          <w:bottom w:w="28" w:type="dxa"/>
          <w:right w:w="28" w:type="dxa"/>
        </w:tblCellMar>
      </w:tblPr>
      <w:tblGrid>
        <w:gridCol w:w="2635"/>
        <w:gridCol w:w="2222"/>
        <w:gridCol w:w="2243"/>
        <w:gridCol w:w="196"/>
        <w:gridCol w:w="961"/>
        <w:gridCol w:w="109"/>
        <w:gridCol w:w="109"/>
        <w:gridCol w:w="109"/>
        <w:gridCol w:w="109"/>
        <w:gridCol w:w="225"/>
        <w:gridCol w:w="1108"/>
        <w:gridCol w:w="179"/>
      </w:tblGrid>
      <w:tr>
        <w:trPr/>
        <w:tc>
          <w:tcPr>
            <w:tcW w:w="2635" w:type="dxa"/>
            <w:tcBorders/>
            <w:vAlign w:val="center"/>
          </w:tcPr>
          <w:p>
            <w:pPr>
              <w:pStyle w:val="TableContents"/>
              <w:bidi w:val="0"/>
              <w:spacing w:before="0" w:after="283"/>
              <w:jc w:val="left"/>
              <w:rPr>
                <w:sz w:val="4"/>
                <w:szCs w:val="4"/>
              </w:rPr>
            </w:pPr>
            <w:r>
              <w:rPr>
                <w:sz w:val="4"/>
                <w:szCs w:val="4"/>
              </w:rPr>
            </w:r>
          </w:p>
        </w:tc>
        <w:tc>
          <w:tcPr>
            <w:tcW w:w="2222" w:type="dxa"/>
            <w:tcBorders/>
            <w:vAlign w:val="center"/>
          </w:tcPr>
          <w:p>
            <w:pPr>
              <w:pStyle w:val="TableContents"/>
              <w:bidi w:val="0"/>
              <w:spacing w:before="0" w:after="283"/>
              <w:jc w:val="left"/>
              <w:rPr>
                <w:sz w:val="4"/>
                <w:szCs w:val="4"/>
              </w:rPr>
            </w:pPr>
            <w:r>
              <w:rPr>
                <w:sz w:val="4"/>
                <w:szCs w:val="4"/>
              </w:rPr>
            </w:r>
          </w:p>
        </w:tc>
        <w:tc>
          <w:tcPr>
            <w:tcW w:w="22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710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2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2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7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26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71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287,525 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482,875 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Restricted cash </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138,382 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67,347 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Loans and investments, net (allowance for credit losses of $163,431 and $145,971)</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11,915,216 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11,934,248 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Loans held-for-sale, net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375,797 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409,081 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Capitalized mortgage servicing rights, net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323,887 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340,842 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Securities held-to-maturity, net (allowance for credit losses of $14,343 and $17,013)</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157,137 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156,087 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in equity affiliates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57,966 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Real estate owned, net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545,946 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498,938 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2" w:type="dxa"/>
            <w:gridSpan w:val="3"/>
            <w:tcBorders/>
            <w:vAlign w:val="center"/>
          </w:tcPr>
          <w:p>
            <w:pPr>
              <w:pStyle w:val="TableContents"/>
              <w:bidi w:val="0"/>
              <w:spacing w:before="0" w:after="283"/>
              <w:jc w:val="left"/>
              <w:rPr>
                <w:sz w:val="4"/>
                <w:szCs w:val="4"/>
              </w:rPr>
            </w:pPr>
            <w:r>
              <w:rPr>
                <w:sz w:val="4"/>
                <w:szCs w:val="4"/>
              </w:rPr>
            </w:r>
          </w:p>
        </w:tc>
      </w:tr>
      <w:tr>
        <w:trPr/>
        <w:tc>
          <w:tcPr>
            <w:tcW w:w="710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2" w:type="dxa"/>
            <w:gridSpan w:val="3"/>
            <w:tcBorders/>
            <w:vAlign w:val="center"/>
          </w:tcPr>
          <w:p>
            <w:pPr>
              <w:pStyle w:val="TableContents"/>
              <w:bidi w:val="0"/>
              <w:spacing w:before="0" w:after="283"/>
              <w:jc w:val="left"/>
              <w:rPr>
                <w:sz w:val="4"/>
                <w:szCs w:val="4"/>
              </w:rPr>
            </w:pPr>
            <w:r>
              <w:rPr>
                <w:sz w:val="4"/>
                <w:szCs w:val="4"/>
              </w:rPr>
            </w:r>
          </w:p>
        </w:tc>
      </w:tr>
      <w:tr>
        <w:trPr/>
        <w:tc>
          <w:tcPr>
            <w:tcW w:w="71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Goodwill and other intangible assets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86,553 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assets </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440,403 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460,966 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14,352,825 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14,494,903 </w:t>
            </w:r>
          </w:p>
        </w:tc>
        <w:tc>
          <w:tcPr>
            <w:tcW w:w="17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Liabilities and Equity:</w:t>
            </w:r>
          </w:p>
        </w:tc>
        <w:tc>
          <w:tcPr>
            <w:tcW w:w="12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7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Credit and repurchase facilities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5,812,258 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5,149,651 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Securitized debt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2,972,246 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3,468,258 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Senior unsecured notes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1,857,769 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2,029,078 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2" w:type="dxa"/>
            <w:gridSpan w:val="3"/>
            <w:tcBorders/>
            <w:vAlign w:val="center"/>
          </w:tcPr>
          <w:p>
            <w:pPr>
              <w:pStyle w:val="TableContents"/>
              <w:bidi w:val="0"/>
              <w:spacing w:before="0" w:after="283"/>
              <w:jc w:val="left"/>
              <w:rPr>
                <w:sz w:val="4"/>
                <w:szCs w:val="4"/>
              </w:rPr>
            </w:pPr>
            <w:r>
              <w:rPr>
                <w:sz w:val="4"/>
                <w:szCs w:val="4"/>
              </w:rPr>
            </w:r>
          </w:p>
        </w:tc>
      </w:tr>
      <w:tr>
        <w:trPr/>
        <w:tc>
          <w:tcPr>
            <w:tcW w:w="71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Junior subordinated notes to subsidiary trust issuing preferred securities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145,907 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145,497 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Notes payable - real estate owned</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270,410 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222,965 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2" w:type="dxa"/>
            <w:gridSpan w:val="3"/>
            <w:tcBorders/>
            <w:vAlign w:val="center"/>
          </w:tcPr>
          <w:p>
            <w:pPr>
              <w:pStyle w:val="TableContents"/>
              <w:bidi w:val="0"/>
              <w:spacing w:before="0" w:after="283"/>
              <w:jc w:val="left"/>
              <w:rPr>
                <w:sz w:val="4"/>
                <w:szCs w:val="4"/>
              </w:rPr>
            </w:pPr>
            <w:r>
              <w:rPr>
                <w:sz w:val="4"/>
                <w:szCs w:val="4"/>
              </w:rPr>
            </w:r>
          </w:p>
        </w:tc>
      </w:tr>
      <w:tr>
        <w:trPr/>
        <w:tc>
          <w:tcPr>
            <w:tcW w:w="710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2" w:type="dxa"/>
            <w:gridSpan w:val="3"/>
            <w:tcBorders/>
            <w:vAlign w:val="center"/>
          </w:tcPr>
          <w:p>
            <w:pPr>
              <w:pStyle w:val="TableContents"/>
              <w:bidi w:val="0"/>
              <w:spacing w:before="0" w:after="283"/>
              <w:jc w:val="left"/>
              <w:rPr>
                <w:sz w:val="4"/>
                <w:szCs w:val="4"/>
              </w:rPr>
            </w:pPr>
            <w:r>
              <w:rPr>
                <w:sz w:val="4"/>
                <w:szCs w:val="4"/>
              </w:rPr>
            </w:r>
          </w:p>
        </w:tc>
      </w:tr>
      <w:tr>
        <w:trPr/>
        <w:tc>
          <w:tcPr>
            <w:tcW w:w="71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Due to borrowers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33,451 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Allowance for loss-sharing obligations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118,898 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97,579 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266,752 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281,271 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11,471,802 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11,427,750 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Equity:</w:t>
            </w:r>
          </w:p>
        </w:tc>
        <w:tc>
          <w:tcPr>
            <w:tcW w:w="12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71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Arbor Realty Trust, Inc. stockholders' equity:</w:t>
            </w:r>
          </w:p>
        </w:tc>
        <w:tc>
          <w:tcPr>
            <w:tcW w:w="12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7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Preferred stock, cumulative, redeemable, $0.01 par value: 100,000,000 shares authorized, shares issued and outstanding by period:</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633,683 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633,683 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18"/>
              </w:rPr>
              <w:t>Special voting preferred shares - 16,170,218 and 16,169,858 shares</w:t>
            </w:r>
          </w:p>
        </w:tc>
        <w:tc>
          <w:tcPr>
            <w:tcW w:w="12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71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6.375% Series D - 9,200,000 shares</w:t>
            </w:r>
          </w:p>
        </w:tc>
        <w:tc>
          <w:tcPr>
            <w:tcW w:w="12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71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6.25% Series E - 5,750,000 shares</w:t>
            </w:r>
          </w:p>
        </w:tc>
        <w:tc>
          <w:tcPr>
            <w:tcW w:w="12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71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6.25% Series F - 11,342,000 shares</w:t>
            </w:r>
          </w:p>
        </w:tc>
        <w:tc>
          <w:tcPr>
            <w:tcW w:w="12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71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$0.01 par value: 500,000,000 shares authorized - 188,981,757 and 195,491,855 shares issued and outstanding</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1,955 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2,409,539 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2,454,312 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(267,177)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(136,597)</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Arbor Realty Trust, Inc. stockholders' equity</w:t>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2,777,935 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2,953,353 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113,800 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equity</w:t>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2,881,023 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3,067,153 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liabilities and equity </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14,352,825 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14,494,903 </w:t>
            </w:r>
          </w:p>
        </w:tc>
        <w:tc>
          <w:tcPr>
            <w:tcW w:w="1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9686" w:type="dxa"/>
        <w:jc w:val="left"/>
        <w:tblInd w:w="0" w:type="dxa"/>
        <w:tblLayout w:type="fixed"/>
        <w:tblCellMar>
          <w:top w:w="28" w:type="dxa"/>
          <w:left w:w="28" w:type="dxa"/>
          <w:bottom w:w="28" w:type="dxa"/>
          <w:right w:w="28" w:type="dxa"/>
        </w:tblCellMar>
      </w:tblPr>
      <w:tblGrid>
        <w:gridCol w:w="1674"/>
        <w:gridCol w:w="1477"/>
        <w:gridCol w:w="1477"/>
        <w:gridCol w:w="1477"/>
        <w:gridCol w:w="1477"/>
        <w:gridCol w:w="2104"/>
      </w:tblGrid>
      <w:tr>
        <w:trPr/>
        <w:tc>
          <w:tcPr>
            <w:tcW w:w="1674"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2104" w:type="dxa"/>
            <w:tcBorders/>
            <w:vAlign w:val="center"/>
          </w:tcPr>
          <w:p>
            <w:pPr>
              <w:pStyle w:val="TableContents"/>
              <w:bidi w:val="0"/>
              <w:spacing w:before="0" w:after="283"/>
              <w:jc w:val="left"/>
              <w:rPr>
                <w:sz w:val="4"/>
                <w:szCs w:val="4"/>
              </w:rPr>
            </w:pPr>
            <w:r>
              <w:rPr>
                <w:sz w:val="4"/>
                <w:szCs w:val="4"/>
              </w:rPr>
            </w:r>
          </w:p>
        </w:tc>
      </w:tr>
      <w:tr>
        <w:trPr/>
        <w:tc>
          <w:tcPr>
            <w:tcW w:w="9686" w:type="dxa"/>
            <w:gridSpan w:val="6"/>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i/>
                <w:color w:val="000000"/>
                <w:sz w:val="24"/>
              </w:rPr>
            </w:pPr>
            <w:r>
              <w:rPr>
                <w:rFonts w:ascii="Times New Roman;serif" w:hAnsi="Times New Roman;serif"/>
                <w:b w:val="false"/>
                <w:i/>
                <w:color w:val="000000"/>
                <w:sz w:val="24"/>
              </w:rPr>
              <w:t>Arbor Realty Trust Reports Second Quarter 2026 Results and Declares Dividend of $0.17 per Share</w:t>
            </w:r>
          </w:p>
        </w:tc>
      </w:tr>
      <w:tr>
        <w:trPr/>
        <w:tc>
          <w:tcPr>
            <w:tcW w:w="4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8"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i/>
                <w:color w:val="000000"/>
                <w:sz w:val="24"/>
              </w:rPr>
            </w:pPr>
            <w:r>
              <w:rPr>
                <w:rFonts w:ascii="Times New Roman;serif" w:hAnsi="Times New Roman;serif"/>
                <w:b w:val="false"/>
                <w:i/>
                <w:color w:val="000000"/>
                <w:sz w:val="24"/>
              </w:rPr>
              <w:t>July 31, 2026</w:t>
            </w:r>
          </w:p>
        </w:tc>
        <w:tc>
          <w:tcPr>
            <w:tcW w:w="5058"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i/>
                <w:color w:val="000000"/>
                <w:sz w:val="24"/>
              </w:rPr>
            </w:pPr>
            <w:r>
              <w:rPr>
                <w:rFonts w:ascii="Times New Roman;serif" w:hAnsi="Times New Roman;serif"/>
                <w:b w:val="false"/>
                <w:i/>
                <w:color w:val="000000"/>
                <w:sz w:val="24"/>
              </w:rPr>
              <w:t>Page 10</w:t>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ARBOR REALTY TRUST, INC. AND SUBSIDIARIES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Statement of Operations Segment Information - (Unaudited)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1936"/>
        <w:gridCol w:w="1479"/>
        <w:gridCol w:w="1494"/>
        <w:gridCol w:w="211"/>
        <w:gridCol w:w="826"/>
        <w:gridCol w:w="109"/>
        <w:gridCol w:w="109"/>
        <w:gridCol w:w="109"/>
        <w:gridCol w:w="109"/>
        <w:gridCol w:w="211"/>
        <w:gridCol w:w="721"/>
        <w:gridCol w:w="109"/>
        <w:gridCol w:w="109"/>
        <w:gridCol w:w="109"/>
        <w:gridCol w:w="109"/>
        <w:gridCol w:w="211"/>
        <w:gridCol w:w="616"/>
        <w:gridCol w:w="109"/>
        <w:gridCol w:w="109"/>
        <w:gridCol w:w="109"/>
        <w:gridCol w:w="109"/>
        <w:gridCol w:w="211"/>
        <w:gridCol w:w="826"/>
        <w:gridCol w:w="155"/>
      </w:tblGrid>
      <w:tr>
        <w:trPr/>
        <w:tc>
          <w:tcPr>
            <w:tcW w:w="1936"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90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5296" w:type="dxa"/>
            <w:gridSpan w:val="21"/>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Quarter Ended June 30, 2026 </w:t>
            </w:r>
          </w:p>
        </w:tc>
      </w:tr>
      <w:tr>
        <w:trPr/>
        <w:tc>
          <w:tcPr>
            <w:tcW w:w="490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Structured</w:t>
              <w:br/>
              <w:t>Business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Agency</w:t>
              <w:br/>
              <w:t>Business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 xml:space="preserve">Other </w:t>
            </w:r>
            <w:r>
              <w:rPr>
                <w:rFonts w:ascii="Times New Roman;serif" w:hAnsi="Times New Roman;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Consolidated</w:t>
            </w:r>
          </w:p>
        </w:tc>
      </w:tr>
      <w:tr>
        <w:trPr/>
        <w:tc>
          <w:tcPr>
            <w:tcW w:w="4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219,211 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230,858 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177,761 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income</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47,145 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53,097 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Other revenue:</w:t>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4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sales, including fee-based services,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15,176 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servicing rights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12,110 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Servicing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42,126 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MSRs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(18,247)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operating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8,313 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derivative instruments,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revenue</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9,951 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52,828 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62,779 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Other expenses:</w:t>
            </w:r>
          </w:p>
        </w:tc>
        <w:tc>
          <w:tcPr>
            <w:tcW w:w="11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ind w:left="0" w:right="0" w:hanging="180"/>
              <w:jc w:val="right"/>
              <w:rPr>
                <w:color w:val="000000"/>
              </w:rPr>
            </w:pPr>
            <w:r>
              <w:rPr>
                <w:color w:val="000000"/>
              </w:rPr>
              <w:t> </w:t>
            </w:r>
          </w:p>
        </w:tc>
      </w:tr>
      <w:tr>
        <w:trPr/>
        <w:tc>
          <w:tcPr>
            <w:tcW w:w="4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compensation and benefits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45,096 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15,868 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operating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12,670 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5,929 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loss on real estate owned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13,650 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loss sharing,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13,472 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38,163 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97,038 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47,810 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144,848 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income before gain on real estate, income from equity affiliates and income taxes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(39,942)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10,970 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(28,972)</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real estate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equity affiliates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1,893 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(3,150)</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(38,611)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8,446 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(30,165)</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 dividends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10,342 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noncontrolling interest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(3,165)</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attributable to common stockholders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(48,953)</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8,446 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(37,342)</w:t>
            </w:r>
          </w:p>
        </w:tc>
        <w:tc>
          <w:tcPr>
            <w:tcW w:w="1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(1)Includes income (loss) allocated to the noncontrolling interest holders not allocated to the two reportable segments.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9686" w:type="dxa"/>
        <w:jc w:val="left"/>
        <w:tblInd w:w="0" w:type="dxa"/>
        <w:tblLayout w:type="fixed"/>
        <w:tblCellMar>
          <w:top w:w="28" w:type="dxa"/>
          <w:left w:w="28" w:type="dxa"/>
          <w:bottom w:w="28" w:type="dxa"/>
          <w:right w:w="28" w:type="dxa"/>
        </w:tblCellMar>
      </w:tblPr>
      <w:tblGrid>
        <w:gridCol w:w="1674"/>
        <w:gridCol w:w="1477"/>
        <w:gridCol w:w="1477"/>
        <w:gridCol w:w="1477"/>
        <w:gridCol w:w="1477"/>
        <w:gridCol w:w="2104"/>
      </w:tblGrid>
      <w:tr>
        <w:trPr/>
        <w:tc>
          <w:tcPr>
            <w:tcW w:w="1674"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2104" w:type="dxa"/>
            <w:tcBorders/>
            <w:vAlign w:val="center"/>
          </w:tcPr>
          <w:p>
            <w:pPr>
              <w:pStyle w:val="TableContents"/>
              <w:bidi w:val="0"/>
              <w:spacing w:before="0" w:after="283"/>
              <w:jc w:val="left"/>
              <w:rPr>
                <w:sz w:val="4"/>
                <w:szCs w:val="4"/>
              </w:rPr>
            </w:pPr>
            <w:r>
              <w:rPr>
                <w:sz w:val="4"/>
                <w:szCs w:val="4"/>
              </w:rPr>
            </w:r>
          </w:p>
        </w:tc>
      </w:tr>
      <w:tr>
        <w:trPr/>
        <w:tc>
          <w:tcPr>
            <w:tcW w:w="9686" w:type="dxa"/>
            <w:gridSpan w:val="6"/>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i/>
                <w:color w:val="000000"/>
                <w:sz w:val="24"/>
              </w:rPr>
            </w:pPr>
            <w:r>
              <w:rPr>
                <w:rFonts w:ascii="Times New Roman;serif" w:hAnsi="Times New Roman;serif"/>
                <w:b w:val="false"/>
                <w:i/>
                <w:color w:val="000000"/>
                <w:sz w:val="24"/>
              </w:rPr>
              <w:t>Arbor Realty Trust Reports Second Quarter 2026 Results and Declares Dividend of $0.17 per Share</w:t>
            </w:r>
          </w:p>
        </w:tc>
      </w:tr>
      <w:tr>
        <w:trPr/>
        <w:tc>
          <w:tcPr>
            <w:tcW w:w="4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8"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i/>
                <w:color w:val="000000"/>
                <w:sz w:val="24"/>
              </w:rPr>
            </w:pPr>
            <w:r>
              <w:rPr>
                <w:rFonts w:ascii="Times New Roman;serif" w:hAnsi="Times New Roman;serif"/>
                <w:b w:val="false"/>
                <w:i/>
                <w:color w:val="000000"/>
                <w:sz w:val="24"/>
              </w:rPr>
              <w:t>July 31, 2026</w:t>
            </w:r>
          </w:p>
        </w:tc>
        <w:tc>
          <w:tcPr>
            <w:tcW w:w="5058"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i/>
                <w:color w:val="000000"/>
                <w:sz w:val="24"/>
              </w:rPr>
            </w:pPr>
            <w:r>
              <w:rPr>
                <w:rFonts w:ascii="Times New Roman;serif" w:hAnsi="Times New Roman;serif"/>
                <w:b w:val="false"/>
                <w:i/>
                <w:color w:val="000000"/>
                <w:sz w:val="24"/>
              </w:rPr>
              <w:t>Page 11</w:t>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ARBOR REALTY TRUST, INC. AND SUBSIDIARIES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Balance Sheet Segment Information - (Unaudited)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tbl>
      <w:tblPr>
        <w:tblW w:w="8544" w:type="dxa"/>
        <w:jc w:val="left"/>
        <w:tblInd w:w="0" w:type="dxa"/>
        <w:tblLayout w:type="fixed"/>
        <w:tblCellMar>
          <w:top w:w="28" w:type="dxa"/>
          <w:left w:w="28" w:type="dxa"/>
          <w:bottom w:w="28" w:type="dxa"/>
          <w:right w:w="28" w:type="dxa"/>
        </w:tblCellMar>
      </w:tblPr>
      <w:tblGrid>
        <w:gridCol w:w="1274"/>
        <w:gridCol w:w="1121"/>
        <w:gridCol w:w="1130"/>
        <w:gridCol w:w="228"/>
        <w:gridCol w:w="1169"/>
        <w:gridCol w:w="117"/>
        <w:gridCol w:w="109"/>
        <w:gridCol w:w="109"/>
        <w:gridCol w:w="109"/>
        <w:gridCol w:w="211"/>
        <w:gridCol w:w="976"/>
        <w:gridCol w:w="109"/>
        <w:gridCol w:w="109"/>
        <w:gridCol w:w="109"/>
        <w:gridCol w:w="109"/>
        <w:gridCol w:w="211"/>
        <w:gridCol w:w="1081"/>
        <w:gridCol w:w="109"/>
        <w:gridCol w:w="154"/>
      </w:tblGrid>
      <w:tr>
        <w:trPr/>
        <w:tc>
          <w:tcPr>
            <w:tcW w:w="1274"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486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5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Structured Business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Agency Business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51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2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58,886 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103,077 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Loans and investments, net</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11,915,216 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11,915,216 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Loans held-for-sale, net</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375,797 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375,797 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mortgage servicing rights, net</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held-to-maturity, net</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equity affiliates</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82,762 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owned, net</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545,946 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545,946 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and other intangible assets</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345,603 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440,403 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13,063,990 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1,288,835 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14,352,825 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514"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Debt obligations</w:t>
            </w:r>
          </w:p>
        </w:tc>
        <w:tc>
          <w:tcPr>
            <w:tcW w:w="22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10,699,313 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11,058,590 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loss-sharing obligations</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211,266 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10,910,579 </w:t>
            </w:r>
          </w:p>
        </w:tc>
        <w:tc>
          <w:tcPr>
            <w:tcW w:w="1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561,223 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11,471,802 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9686" w:type="dxa"/>
        <w:jc w:val="left"/>
        <w:tblInd w:w="0" w:type="dxa"/>
        <w:tblLayout w:type="fixed"/>
        <w:tblCellMar>
          <w:top w:w="28" w:type="dxa"/>
          <w:left w:w="28" w:type="dxa"/>
          <w:bottom w:w="28" w:type="dxa"/>
          <w:right w:w="28" w:type="dxa"/>
        </w:tblCellMar>
      </w:tblPr>
      <w:tblGrid>
        <w:gridCol w:w="1674"/>
        <w:gridCol w:w="1477"/>
        <w:gridCol w:w="1477"/>
        <w:gridCol w:w="1477"/>
        <w:gridCol w:w="1477"/>
        <w:gridCol w:w="2104"/>
      </w:tblGrid>
      <w:tr>
        <w:trPr/>
        <w:tc>
          <w:tcPr>
            <w:tcW w:w="1674"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2104" w:type="dxa"/>
            <w:tcBorders/>
            <w:vAlign w:val="center"/>
          </w:tcPr>
          <w:p>
            <w:pPr>
              <w:pStyle w:val="TableContents"/>
              <w:bidi w:val="0"/>
              <w:spacing w:before="0" w:after="283"/>
              <w:jc w:val="left"/>
              <w:rPr>
                <w:sz w:val="4"/>
                <w:szCs w:val="4"/>
              </w:rPr>
            </w:pPr>
            <w:r>
              <w:rPr>
                <w:sz w:val="4"/>
                <w:szCs w:val="4"/>
              </w:rPr>
            </w:r>
          </w:p>
        </w:tc>
      </w:tr>
      <w:tr>
        <w:trPr/>
        <w:tc>
          <w:tcPr>
            <w:tcW w:w="9686" w:type="dxa"/>
            <w:gridSpan w:val="6"/>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i/>
                <w:color w:val="000000"/>
                <w:sz w:val="24"/>
              </w:rPr>
            </w:pPr>
            <w:r>
              <w:rPr>
                <w:rFonts w:ascii="Times New Roman;serif" w:hAnsi="Times New Roman;serif"/>
                <w:b w:val="false"/>
                <w:i/>
                <w:color w:val="000000"/>
                <w:sz w:val="24"/>
              </w:rPr>
              <w:t>Arbor Realty Trust Reports Second Quarter 2026 Results and Declares Dividend of $0.17 per Share</w:t>
            </w:r>
          </w:p>
        </w:tc>
      </w:tr>
      <w:tr>
        <w:trPr/>
        <w:tc>
          <w:tcPr>
            <w:tcW w:w="4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8"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i/>
                <w:color w:val="000000"/>
                <w:sz w:val="24"/>
              </w:rPr>
            </w:pPr>
            <w:r>
              <w:rPr>
                <w:rFonts w:ascii="Times New Roman;serif" w:hAnsi="Times New Roman;serif"/>
                <w:b w:val="false"/>
                <w:i/>
                <w:color w:val="000000"/>
                <w:sz w:val="24"/>
              </w:rPr>
              <w:t>July 31, 2026</w:t>
            </w:r>
          </w:p>
        </w:tc>
        <w:tc>
          <w:tcPr>
            <w:tcW w:w="5058"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i/>
                <w:color w:val="000000"/>
                <w:sz w:val="24"/>
              </w:rPr>
            </w:pPr>
            <w:r>
              <w:rPr>
                <w:rFonts w:ascii="Times New Roman;serif" w:hAnsi="Times New Roman;serif"/>
                <w:b w:val="false"/>
                <w:i/>
                <w:color w:val="000000"/>
                <w:sz w:val="24"/>
              </w:rPr>
              <w:t>Page 12</w:t>
            </w:r>
          </w:p>
        </w:tc>
      </w:tr>
    </w:tbl>
    <w:p>
      <w:pPr>
        <w:pStyle w:val="TextBody"/>
        <w:bidi w:val="0"/>
        <w:spacing w:lineRule="auto" w:line="288" w:before="240" w:after="283"/>
        <w:jc w:val="center"/>
        <w:rPr>
          <w:rFonts w:ascii="Times New Roman;serif" w:hAnsi="Times New Roman;serif"/>
          <w:b/>
          <w:color w:val="000000"/>
          <w:sz w:val="18"/>
        </w:rPr>
      </w:pPr>
      <w:r>
        <w:rPr>
          <w:rFonts w:ascii="Times New Roman;serif" w:hAnsi="Times New Roman;serif"/>
          <w:b/>
          <w:color w:val="000000"/>
          <w:sz w:val="18"/>
        </w:rPr>
        <w:t>ARBOR REALTY TRUST, INC. AND SUBSIDIARIES</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Reconciliation of Distributable Earnings to GAAP Net (Loss) Income - (Unaudited)</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in thousands—except share and per share data)</w:t>
      </w:r>
    </w:p>
    <w:tbl>
      <w:tblPr>
        <w:tblW w:w="10205" w:type="dxa"/>
        <w:jc w:val="left"/>
        <w:tblInd w:w="0" w:type="dxa"/>
        <w:tblLayout w:type="fixed"/>
        <w:tblCellMar>
          <w:top w:w="28" w:type="dxa"/>
          <w:left w:w="28" w:type="dxa"/>
          <w:bottom w:w="28" w:type="dxa"/>
          <w:right w:w="28" w:type="dxa"/>
        </w:tblCellMar>
      </w:tblPr>
      <w:tblGrid>
        <w:gridCol w:w="1672"/>
        <w:gridCol w:w="1465"/>
        <w:gridCol w:w="1469"/>
        <w:gridCol w:w="227"/>
        <w:gridCol w:w="795"/>
        <w:gridCol w:w="119"/>
        <w:gridCol w:w="109"/>
        <w:gridCol w:w="109"/>
        <w:gridCol w:w="109"/>
        <w:gridCol w:w="231"/>
        <w:gridCol w:w="790"/>
        <w:gridCol w:w="120"/>
        <w:gridCol w:w="109"/>
        <w:gridCol w:w="109"/>
        <w:gridCol w:w="109"/>
        <w:gridCol w:w="227"/>
        <w:gridCol w:w="795"/>
        <w:gridCol w:w="119"/>
        <w:gridCol w:w="109"/>
        <w:gridCol w:w="109"/>
        <w:gridCol w:w="109"/>
        <w:gridCol w:w="211"/>
        <w:gridCol w:w="826"/>
        <w:gridCol w:w="158"/>
      </w:tblGrid>
      <w:tr>
        <w:trPr/>
        <w:tc>
          <w:tcPr>
            <w:tcW w:w="1672"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Quarter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6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attributable to common stockholders</w:t>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(37,342)</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23,952 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(36,713)</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54,389 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attributable to noncontrolling interest</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(3,165)</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(3,112)</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4,617 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mortgage servicing rights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(12,110)</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(10,930)</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(21,770)</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(19,061)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benefit</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(2,211)</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(1,603)</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(4,791)</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and write-offs of MSRs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21,093 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19,825 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40,433 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40,689 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6,876 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6,582 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14,692 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11,149 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 net</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40,532 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8,435 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19,654 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9,192 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derivative instruments, net</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(477)</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(674)</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(5,371)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real estate</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5,388 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17,917 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4,667 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9,029 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8,545 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Distributable earnings (1)</w:t>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21,709 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52,069 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36,160 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109,394 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 average shares outstanding (1) (2)</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207,661,095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209,003,002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209,687,157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207,938,574</w:t>
            </w:r>
          </w:p>
        </w:tc>
      </w:tr>
      <w:tr>
        <w:trPr/>
        <w:tc>
          <w:tcPr>
            <w:tcW w:w="4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 distributable earnings per share (1)</w:t>
            </w:r>
          </w:p>
        </w:tc>
        <w:tc>
          <w:tcPr>
            <w:tcW w:w="22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1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0.25 </w:t>
            </w:r>
          </w:p>
        </w:tc>
        <w:tc>
          <w:tcPr>
            <w:tcW w:w="120"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0.17 </w:t>
            </w:r>
          </w:p>
        </w:tc>
        <w:tc>
          <w:tcPr>
            <w:tcW w:w="11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0.53 </w:t>
            </w:r>
          </w:p>
        </w:tc>
        <w:tc>
          <w:tcPr>
            <w:tcW w:w="158"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(1)Amounts are attributable to common stockholders and OP Unit holders. The OP Units are redeemable for cash, or at the Company's option for shares of the Company's common stock on a one-for-one basis.</w:t>
      </w:r>
    </w:p>
    <w:p>
      <w:pPr>
        <w:pStyle w:val="TextBody"/>
        <w:bidi w:val="0"/>
        <w:spacing w:lineRule="auto" w:line="288" w:before="240" w:after="283"/>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 xml:space="preserve">(2)For the quarter and six months ended June 30, 2025, the diluted weighted average shares outstanding exclude the potential shares issuable upon conversion and settlement of the Company's convertible senior notes principal balance.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is presenting distributable earnings because management believes it is an important supplemental measure of the Company's operating performance and is useful to investors, analysts and other parties in the evaluation of REITs and their ability to provide dividends to stockholders. Dividends are one of the principal reasons investors invest in REITs. To maintain REIT status, REITs are required to distribute at least 90% of their REIT-taxable income. The Company considers distributable earnings in determining its quarterly dividend and believes that, over time, distributable earnings is a useful indicator of the Company's dividends per share.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defines distributable earnings as net income (loss) attributable to common stockholders computed in accordance with GAAP, adjusted for accounting items such as depreciation and amortization (adjusted for unconsolidated joint ventures), non-cash stock-based compensation expense, income from MSRs, amortization and write-offs of MSRs, gains/losses on derivative instruments primarily associated with Private Label loans not yet sold and securitized, changes in fair value of GSE-related derivatives that temporarily flow through earnings, deferred tax provision (benefit), CECL provisions for credit losses (adjusted for realized losses as described below), gains/losses on the receipt of real estate from the settlement of loans and subsequent impairment losses on real estate owned prior to the sale of the real estate. The Company also adds back one-time charges such as acquisition costs and one-time gains/losses on the early extinguishment of debt and redemption of preferred stock.</w:t>
      </w:r>
    </w:p>
    <w:p>
      <w:pPr>
        <w:pStyle w:val="TextBody"/>
        <w:bidi w:val="0"/>
        <w:spacing w:before="0" w:after="0"/>
        <w:jc w:val="left"/>
        <w:rPr/>
      </w:pPr>
      <w:r>
        <w:rPr/>
      </w:r>
    </w:p>
    <w:p>
      <w:pPr>
        <w:pStyle w:val="TextBody"/>
        <w:bidi w:val="0"/>
        <w:spacing w:lineRule="auto" w:line="268"/>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reduces distributable earnings for realized losses in the period management determines that a loan is deemed nonrecoverable in whole or in part. Loans are deemed nonrecoverable upon the earlier of: (1) when the loan receivable is repaid, or in the case of foreclosure, when the underlying asset is sold at which time any impairments and/or cumulative depreciation expense are realized; or (2) when management determines that it is nearly certain that all amounts due will not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9686" w:type="dxa"/>
        <w:jc w:val="left"/>
        <w:tblInd w:w="0" w:type="dxa"/>
        <w:tblLayout w:type="fixed"/>
        <w:tblCellMar>
          <w:top w:w="28" w:type="dxa"/>
          <w:left w:w="28" w:type="dxa"/>
          <w:bottom w:w="28" w:type="dxa"/>
          <w:right w:w="28" w:type="dxa"/>
        </w:tblCellMar>
      </w:tblPr>
      <w:tblGrid>
        <w:gridCol w:w="1674"/>
        <w:gridCol w:w="1477"/>
        <w:gridCol w:w="1477"/>
        <w:gridCol w:w="1477"/>
        <w:gridCol w:w="1477"/>
        <w:gridCol w:w="2104"/>
      </w:tblGrid>
      <w:tr>
        <w:trPr/>
        <w:tc>
          <w:tcPr>
            <w:tcW w:w="1674"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2104" w:type="dxa"/>
            <w:tcBorders/>
            <w:vAlign w:val="center"/>
          </w:tcPr>
          <w:p>
            <w:pPr>
              <w:pStyle w:val="TableContents"/>
              <w:bidi w:val="0"/>
              <w:spacing w:before="0" w:after="283"/>
              <w:jc w:val="left"/>
              <w:rPr>
                <w:sz w:val="4"/>
                <w:szCs w:val="4"/>
              </w:rPr>
            </w:pPr>
            <w:r>
              <w:rPr>
                <w:sz w:val="4"/>
                <w:szCs w:val="4"/>
              </w:rPr>
            </w:r>
          </w:p>
        </w:tc>
      </w:tr>
      <w:tr>
        <w:trPr/>
        <w:tc>
          <w:tcPr>
            <w:tcW w:w="9686" w:type="dxa"/>
            <w:gridSpan w:val="6"/>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i/>
                <w:color w:val="000000"/>
                <w:sz w:val="24"/>
              </w:rPr>
            </w:pPr>
            <w:r>
              <w:rPr>
                <w:rFonts w:ascii="Times New Roman;serif" w:hAnsi="Times New Roman;serif"/>
                <w:b w:val="false"/>
                <w:i/>
                <w:color w:val="000000"/>
                <w:sz w:val="24"/>
              </w:rPr>
              <w:t>Arbor Realty Trust Reports Second Quarter 2026 Results and Declares Dividend of $0.17 per Share</w:t>
            </w:r>
          </w:p>
        </w:tc>
      </w:tr>
      <w:tr>
        <w:trPr/>
        <w:tc>
          <w:tcPr>
            <w:tcW w:w="4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8"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i/>
                <w:color w:val="000000"/>
                <w:sz w:val="24"/>
              </w:rPr>
            </w:pPr>
            <w:r>
              <w:rPr>
                <w:rFonts w:ascii="Times New Roman;serif" w:hAnsi="Times New Roman;serif"/>
                <w:b w:val="false"/>
                <w:i/>
                <w:color w:val="000000"/>
                <w:sz w:val="24"/>
              </w:rPr>
              <w:t>July 31, 2026</w:t>
            </w:r>
          </w:p>
        </w:tc>
        <w:tc>
          <w:tcPr>
            <w:tcW w:w="5058"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i/>
                <w:color w:val="000000"/>
                <w:sz w:val="24"/>
              </w:rPr>
            </w:pPr>
            <w:r>
              <w:rPr>
                <w:rFonts w:ascii="Times New Roman;serif" w:hAnsi="Times New Roman;serif"/>
                <w:b w:val="false"/>
                <w:i/>
                <w:color w:val="000000"/>
                <w:sz w:val="24"/>
              </w:rPr>
              <w:t>Page 13</w:t>
            </w:r>
          </w:p>
        </w:tc>
      </w:tr>
    </w:tbl>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be collected. The realized loss amount is equal to the difference between the cash received, or expected to be received, and the book value of the asset.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Distributable earnings is not intended to be an indication of the Company's cash flows from operating activities (determined in accordance with GAAP) or a measure of its liquidity, nor is it entirely indicative of funding the Company's cash needs, including its ability to make cash distributions. The Company's calculation of distributable earnings may be different from the calculations used by other companies and, therefore, comparability may be limited.</w:t>
      </w:r>
    </w:p>
    <w:p>
      <w:pPr>
        <w:pStyle w:val="TextBody"/>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4219</Words>
  <Characters>23574</Characters>
  <CharactersWithSpaces>27354</CharactersWithSpaces>
  <Paragraphs>1091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