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8, 2026</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Arbor Realty Trust, Inc.</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8"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4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92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001-32136</w:t>
            </w:r>
          </w:p>
        </w:tc>
        <w:tc>
          <w:tcPr>
            <w:tcW w:w="31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20-0057959</w:t>
            </w:r>
          </w:p>
        </w:tc>
      </w:tr>
      <w:tr>
        <w:trPr>
          <w:trHeight w:val="257"/>
        </w:trPr>
        <w:tc>
          <w:tcPr>
            <w:tcW w:w="44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18"/>
        </w:trPr>
        <w:tc>
          <w:tcPr>
            <w:tcW w:w="4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333 Earle Ovington Boulevard, Suite 900, Uniondale,</w:t>
            </w:r>
          </w:p>
        </w:tc>
        <w:tc>
          <w:tcPr>
            <w:tcW w:w="29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38"/>
        </w:trPr>
        <w:tc>
          <w:tcPr>
            <w:tcW w:w="4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NY</w:t>
            </w:r>
          </w:p>
        </w:tc>
        <w:tc>
          <w:tcPr>
            <w:tcW w:w="2920" w:type="dxa"/>
            <w:vAlign w:val="bottom"/>
          </w:tcPr>
          <w:p>
            <w:pPr>
              <w:spacing w:after="0"/>
              <w:rPr>
                <w:sz w:val="20"/>
                <w:szCs w:val="20"/>
                <w:color w:val="auto"/>
              </w:rPr>
            </w:pPr>
          </w:p>
        </w:tc>
        <w:tc>
          <w:tcPr>
            <w:tcW w:w="310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11553</w:t>
            </w:r>
          </w:p>
        </w:tc>
      </w:tr>
      <w:tr>
        <w:trPr>
          <w:trHeight w:val="256"/>
        </w:trPr>
        <w:tc>
          <w:tcPr>
            <w:tcW w:w="44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20" w:type="dxa"/>
            <w:vAlign w:val="bottom"/>
          </w:tcPr>
          <w:p>
            <w:pPr>
              <w:spacing w:after="0"/>
              <w:rPr>
                <w:sz w:val="22"/>
                <w:szCs w:val="22"/>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 506-4200</w:t>
      </w:r>
    </w:p>
    <w:p>
      <w:pPr>
        <w:spacing w:after="0" w:line="189" w:lineRule="exact"/>
        <w:rPr>
          <w:sz w:val="24"/>
          <w:szCs w:val="24"/>
          <w:color w:val="auto"/>
        </w:rPr>
      </w:pPr>
    </w:p>
    <w:p>
      <w:pPr>
        <w:jc w:val="both"/>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45"/>
        </w:trPr>
        <w:tc>
          <w:tcPr>
            <w:tcW w:w="4820" w:type="dxa"/>
            <w:vAlign w:val="bottom"/>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7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ABR</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52"/>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Preferred Stock, 6.375% Series D Cumulative Redeemable, par</w:t>
            </w: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60" w:type="dxa"/>
            <w:vAlign w:val="bottom"/>
          </w:tcPr>
          <w:p>
            <w:pPr>
              <w:spacing w:after="0"/>
              <w:rPr>
                <w:sz w:val="21"/>
                <w:szCs w:val="21"/>
                <w:color w:val="auto"/>
              </w:rPr>
            </w:pPr>
          </w:p>
        </w:tc>
      </w:tr>
      <w:tr>
        <w:trPr>
          <w:trHeight w:val="234"/>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$0.01 per share</w:t>
            </w:r>
          </w:p>
        </w:tc>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ABR-PD</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52"/>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Preferred Stock, 6.25%</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E Cumulative Redeemable, par</w:t>
            </w: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60" w:type="dxa"/>
            <w:vAlign w:val="bottom"/>
          </w:tcPr>
          <w:p>
            <w:pPr>
              <w:spacing w:after="0"/>
              <w:rPr>
                <w:sz w:val="21"/>
                <w:szCs w:val="21"/>
                <w:color w:val="auto"/>
              </w:rPr>
            </w:pPr>
          </w:p>
        </w:tc>
      </w:tr>
      <w:tr>
        <w:trPr>
          <w:trHeight w:val="234"/>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$0.01 per share</w:t>
            </w:r>
          </w:p>
        </w:tc>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ABR-PE</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52"/>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Preferred Stock, 6.25%</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F Fixed-to-Floating Rate</w:t>
            </w: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60" w:type="dxa"/>
            <w:vAlign w:val="bottom"/>
          </w:tcPr>
          <w:p>
            <w:pPr>
              <w:spacing w:after="0"/>
              <w:rPr>
                <w:sz w:val="21"/>
                <w:szCs w:val="21"/>
                <w:color w:val="auto"/>
              </w:rPr>
            </w:pPr>
          </w:p>
        </w:tc>
      </w:tr>
      <w:tr>
        <w:trPr>
          <w:trHeight w:val="234"/>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Cumulative Redeemable, par value $0.01 per share</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ABR-PF</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9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0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8, 2026, Arbor Realty Trust, Inc. issued a press release announcing its earnings for the quarter ended March 31, 2026, a copy of which is attached hereto as Exhibit 99.1.</w:t>
      </w:r>
    </w:p>
    <w:p>
      <w:pPr>
        <w:spacing w:after="0" w:line="1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0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000" w:type="dxa"/>
            <w:vAlign w:val="bottom"/>
            <w:tcBorders>
              <w:bottom w:val="single" w:sz="8" w:color="auto"/>
            </w:tcBorders>
          </w:tcPr>
          <w:p>
            <w:pPr>
              <w:spacing w:after="0"/>
              <w:rPr>
                <w:sz w:val="2"/>
                <w:szCs w:val="2"/>
                <w:color w:val="auto"/>
              </w:rPr>
            </w:pPr>
          </w:p>
        </w:tc>
      </w:tr>
      <w:tr>
        <w:trPr>
          <w:trHeight w:val="196"/>
        </w:trPr>
        <w:tc>
          <w:tcPr>
            <w:tcW w:w="17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Press Release, dated May 8, 2026</w:t>
            </w:r>
          </w:p>
        </w:tc>
        <w:tc>
          <w:tcPr>
            <w:tcW w:w="7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521"/>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33"/>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ARBOR REALTY TRUST, INC.</w:t>
            </w:r>
          </w:p>
        </w:tc>
      </w:tr>
      <w:tr>
        <w:trPr>
          <w:trHeight w:val="50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8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Elenio</w:t>
            </w:r>
          </w:p>
        </w:tc>
      </w:tr>
      <w:tr>
        <w:trPr>
          <w:trHeight w:val="243"/>
        </w:trPr>
        <w:tc>
          <w:tcPr>
            <w:tcW w:w="3360" w:type="dxa"/>
            <w:vAlign w:val="bottom"/>
          </w:tcPr>
          <w:p>
            <w:pPr>
              <w:spacing w:after="0"/>
              <w:rPr>
                <w:sz w:val="21"/>
                <w:szCs w:val="21"/>
                <w:color w:val="auto"/>
              </w:rPr>
            </w:pPr>
          </w:p>
        </w:tc>
        <w:tc>
          <w:tcPr>
            <w:tcW w:w="28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Elenio</w:t>
            </w:r>
          </w:p>
        </w:tc>
      </w:tr>
      <w:tr>
        <w:trPr>
          <w:trHeight w:val="270"/>
        </w:trPr>
        <w:tc>
          <w:tcPr>
            <w:tcW w:w="3360" w:type="dxa"/>
            <w:vAlign w:val="bottom"/>
          </w:tcPr>
          <w:p>
            <w:pPr>
              <w:spacing w:after="0"/>
              <w:rPr>
                <w:sz w:val="23"/>
                <w:szCs w:val="23"/>
                <w:color w:val="auto"/>
              </w:rPr>
            </w:pPr>
          </w:p>
        </w:tc>
        <w:tc>
          <w:tcPr>
            <w:tcW w:w="28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0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2522855</wp:posOffset>
            </wp:positionH>
            <wp:positionV relativeFrom="page">
              <wp:posOffset>1151890</wp:posOffset>
            </wp:positionV>
            <wp:extent cx="2503170"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0317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29"/>
          <w:szCs w:val="29"/>
          <w:b w:val="1"/>
          <w:bCs w:val="1"/>
          <w:color w:val="auto"/>
        </w:rPr>
        <w:t>Arbor Realty Trust Reports First Quarter 2026 Results and Declares Dividend of $0.17 per Share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Company Highlights:</w:t>
      </w:r>
    </w:p>
    <w:p>
      <w:pPr>
        <w:spacing w:after="0" w:line="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GAAP net income of $0.6 million, or $0.00 per diluted common share</w:t>
      </w:r>
    </w:p>
    <w:p>
      <w:pPr>
        <w:spacing w:after="0" w:line="57" w:lineRule="exact"/>
        <w:rPr>
          <w:rFonts w:ascii="Times New Roman" w:cs="Times New Roman" w:eastAsia="Times New Roman" w:hAnsi="Times New Roman"/>
          <w:sz w:val="22"/>
          <w:szCs w:val="22"/>
          <w:color w:val="auto"/>
        </w:rPr>
      </w:pPr>
    </w:p>
    <w:p>
      <w:pPr>
        <w:ind w:left="660" w:hanging="328"/>
        <w:spacing w:after="0" w:line="224"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Distributable earnings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$0.07, or $0.18 per diluted common share, excluding $22.9 million of net realized losses from the resolution of certain legacy assets</w:t>
      </w:r>
    </w:p>
    <w:p>
      <w:pPr>
        <w:spacing w:after="0" w:line="4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Declares cash dividend on common stock of $0.17 per share</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Servicing portfolio of ~$36.31 billion, agency loan originations of $707.6 million</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Structured loan portfolio of ~$12.00 billion, originations of $767.6 million and runoff of $861.0 million</w:t>
      </w:r>
    </w:p>
    <w:p>
      <w:pPr>
        <w:spacing w:after="0" w:line="57"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Closed a $762.6 million collateralized securitization vehicle with enhanced leverage, generating ~$35 million of additional liquidity</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Purchased $30.7 million of stock at an average price of $7.46 per share, or 66% of book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Uniondale, NY, May 8, 2026 -- Arbor Realty Trust, Inc. (NYSE: ABR), today announced financial results for the first quarter ended March 31, 2026. Arbor reported net income for the quarter of $0.6 million, or $0.00 per diluted common share, compared to net income of $30.4 million, or $0.16 per diluted common share for the quarter ended March 31, 2025. Distributable earnings for the quarter was $14.4 million, or $0.07 per diluted common share, compared to $57.3 million, or $0.28 per diluted common share for the quarter ended March 31, 2025.</w:t>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First Quarter 2026 Results and Declares Dividend of $0.17 per Share</w:t>
      </w:r>
    </w:p>
    <w:p>
      <w:pPr>
        <w:spacing w:after="0" w:line="368" w:lineRule="exact"/>
        <w:rPr>
          <w:sz w:val="20"/>
          <w:szCs w:val="20"/>
          <w:color w:val="auto"/>
        </w:rPr>
      </w:pPr>
    </w:p>
    <w:p>
      <w:pPr>
        <w:ind w:left="20"/>
        <w:spacing w:after="0"/>
        <w:tabs>
          <w:tab w:leader="none" w:pos="10600" w:val="left"/>
        </w:tabs>
        <w:rPr>
          <w:sz w:val="20"/>
          <w:szCs w:val="20"/>
          <w:color w:val="auto"/>
        </w:rPr>
      </w:pPr>
      <w:r>
        <w:rPr>
          <w:rFonts w:ascii="Times New Roman" w:cs="Times New Roman" w:eastAsia="Times New Roman" w:hAnsi="Times New Roman"/>
          <w:sz w:val="22"/>
          <w:szCs w:val="22"/>
          <w:i w:val="1"/>
          <w:iCs w:val="1"/>
          <w:color w:val="auto"/>
        </w:rPr>
        <w:t>May 8, 2026</w:t>
      </w:r>
      <w:r>
        <w:rPr>
          <w:sz w:val="20"/>
          <w:szCs w:val="20"/>
          <w:color w:val="auto"/>
        </w:rPr>
        <w:tab/>
      </w:r>
      <w:r>
        <w:rPr>
          <w:rFonts w:ascii="Times New Roman" w:cs="Times New Roman" w:eastAsia="Times New Roman" w:hAnsi="Times New Roman"/>
          <w:sz w:val="21"/>
          <w:szCs w:val="21"/>
          <w:i w:val="1"/>
          <w:iCs w:val="1"/>
          <w:color w:val="auto"/>
        </w:rPr>
        <w:t>Page 2</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Agency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Loan Origination Platform</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20" w:type="dxa"/>
            <w:vAlign w:val="bottom"/>
            <w:gridSpan w:val="4"/>
          </w:tcPr>
          <w:p>
            <w:pPr>
              <w:jc w:val="right"/>
              <w:ind w:right="834"/>
              <w:spacing w:after="0"/>
              <w:rPr>
                <w:sz w:val="20"/>
                <w:szCs w:val="20"/>
                <w:color w:val="auto"/>
              </w:rPr>
            </w:pPr>
            <w:r>
              <w:rPr>
                <w:rFonts w:ascii="Times New Roman" w:cs="Times New Roman" w:eastAsia="Times New Roman" w:hAnsi="Times New Roman"/>
                <w:sz w:val="18"/>
                <w:szCs w:val="18"/>
                <w:b w:val="1"/>
                <w:bCs w:val="1"/>
                <w:color w:val="auto"/>
              </w:rPr>
              <w:t>Agency Loan Volume (in thousands)</w:t>
            </w:r>
          </w:p>
        </w:tc>
      </w:tr>
      <w:tr>
        <w:trPr>
          <w:trHeight w:val="27"/>
        </w:trPr>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4"/>
          </w:tcPr>
          <w:p>
            <w:pPr>
              <w:spacing w:after="0"/>
              <w:rPr>
                <w:sz w:val="2"/>
                <w:szCs w:val="2"/>
                <w:color w:val="auto"/>
              </w:rPr>
            </w:pPr>
          </w:p>
        </w:tc>
      </w:tr>
      <w:tr>
        <w:trPr>
          <w:trHeight w:val="263"/>
        </w:trPr>
        <w:tc>
          <w:tcPr>
            <w:tcW w:w="6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320" w:type="dxa"/>
            <w:vAlign w:val="bottom"/>
            <w:gridSpan w:val="4"/>
          </w:tcPr>
          <w:p>
            <w:pPr>
              <w:jc w:val="right"/>
              <w:ind w:right="1634"/>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7"/>
        </w:trPr>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3"/>
        </w:trPr>
        <w:tc>
          <w:tcPr>
            <w:tcW w:w="6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22"/>
                <w:szCs w:val="22"/>
                <w:color w:val="auto"/>
              </w:rPr>
            </w:pPr>
          </w:p>
        </w:tc>
        <w:tc>
          <w:tcPr>
            <w:tcW w:w="2020" w:type="dxa"/>
            <w:vAlign w:val="bottom"/>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30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Fannie Mae</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570,815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1,068,889</w:t>
            </w:r>
          </w:p>
        </w:tc>
      </w:tr>
      <w:tr>
        <w:trPr>
          <w:trHeight w:val="303"/>
        </w:trPr>
        <w:tc>
          <w:tcPr>
            <w:tcW w:w="6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Freddie Mac</w:t>
            </w:r>
          </w:p>
        </w:tc>
        <w:tc>
          <w:tcPr>
            <w:tcW w:w="3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91,255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493,294</w:t>
            </w:r>
          </w:p>
        </w:tc>
      </w:tr>
      <w:tr>
        <w:trPr>
          <w:trHeight w:val="31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FHA</w:t>
            </w:r>
          </w:p>
        </w:tc>
        <w:tc>
          <w:tcPr>
            <w:tcW w:w="340" w:type="dxa"/>
            <w:vAlign w:val="bottom"/>
            <w:shd w:val="clear" w:color="auto" w:fill="CCEEFF"/>
          </w:tcPr>
          <w:p>
            <w:pPr>
              <w:spacing w:after="0"/>
              <w:rPr>
                <w:sz w:val="24"/>
                <w:szCs w:val="24"/>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45,507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62,104</w:t>
            </w:r>
          </w:p>
        </w:tc>
      </w:tr>
      <w:tr>
        <w:trPr>
          <w:trHeight w:val="304"/>
        </w:trPr>
        <w:tc>
          <w:tcPr>
            <w:tcW w:w="6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SFR-Fixed Rate</w:t>
            </w:r>
          </w:p>
        </w:tc>
        <w:tc>
          <w:tcPr>
            <w:tcW w:w="340" w:type="dxa"/>
            <w:vAlign w:val="bottom"/>
          </w:tcPr>
          <w:p>
            <w:pPr>
              <w:spacing w:after="0"/>
              <w:rPr>
                <w:sz w:val="24"/>
                <w:szCs w:val="24"/>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3,857</w:t>
            </w:r>
          </w:p>
        </w:tc>
      </w:tr>
      <w:tr>
        <w:trPr>
          <w:trHeight w:val="335"/>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 Originations</w:t>
            </w:r>
          </w:p>
        </w:tc>
        <w:tc>
          <w:tcPr>
            <w:tcW w:w="34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707,577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1,628,144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285"/>
        </w:trPr>
        <w:tc>
          <w:tcPr>
            <w:tcW w:w="6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35"/>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 Loan Sales</w:t>
            </w:r>
          </w:p>
        </w:tc>
        <w:tc>
          <w:tcPr>
            <w:tcW w:w="3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670,972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1,539,801</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285"/>
        </w:trPr>
        <w:tc>
          <w:tcPr>
            <w:tcW w:w="6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35"/>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 Loan Commitments</w:t>
            </w:r>
          </w:p>
        </w:tc>
        <w:tc>
          <w:tcPr>
            <w:tcW w:w="3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733,860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1,602,180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For the quarter ended March 31, 2026, the Agency Business generated revenues of $57.9 million, compared to $81.0 million for the fourth quarter of 2025. Gain on sales, including fee-based services, net was $12.5 million for the quarter, reflecting a margin of 1.86%, compared to $20.9 million and 1.36% for the fourth quarter of 2025. Income from mortgage servicing rights was $9.7 million for the quarter, reflecting a rate of 1.32% as a percentage of loan commitments, compared to $19.9 million and 1.24% for the fourth quarter of 2025.</w:t>
      </w:r>
    </w:p>
    <w:p>
      <w:pPr>
        <w:spacing w:after="0" w:line="179" w:lineRule="exact"/>
        <w:rPr>
          <w:sz w:val="20"/>
          <w:szCs w:val="20"/>
          <w:color w:val="auto"/>
        </w:rPr>
      </w:pPr>
    </w:p>
    <w:p>
      <w:pPr>
        <w:ind w:right="320"/>
        <w:spacing w:after="0" w:line="448" w:lineRule="auto"/>
        <w:rPr>
          <w:sz w:val="20"/>
          <w:szCs w:val="20"/>
          <w:color w:val="auto"/>
        </w:rPr>
      </w:pPr>
      <w:r>
        <w:rPr>
          <w:rFonts w:ascii="Times New Roman" w:cs="Times New Roman" w:eastAsia="Times New Roman" w:hAnsi="Times New Roman"/>
          <w:sz w:val="22"/>
          <w:szCs w:val="22"/>
          <w:color w:val="auto"/>
        </w:rPr>
        <w:t xml:space="preserve">At March 31, 2026, loans held-for-sale was $443.2 million, with financing associated with these loans totaling $424.9 million. </w:t>
      </w:r>
      <w:r>
        <w:rPr>
          <w:rFonts w:ascii="Times New Roman" w:cs="Times New Roman" w:eastAsia="Times New Roman" w:hAnsi="Times New Roman"/>
          <w:sz w:val="22"/>
          <w:szCs w:val="22"/>
          <w:b w:val="1"/>
          <w:bCs w:val="1"/>
          <w:i w:val="1"/>
          <w:iCs w:val="1"/>
          <w:color w:val="auto"/>
        </w:rPr>
        <w:t>Fee-Based Servicing Portfolio</w:t>
      </w:r>
    </w:p>
    <w:p>
      <w:pPr>
        <w:spacing w:after="0" w:line="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Company’s fee-based servicing portfolio totaled $36.31 billion at March 31, 2026. Servicing revenue, net was $25.7 million for the quarter and consisted of servicing revenue of $44.0 million, net of amortization of mortgage servicing rights totaling $18.3 million.</w:t>
      </w:r>
    </w:p>
    <w:p>
      <w:pPr>
        <w:sectPr>
          <w:pgSz w:w="11900" w:h="16838" w:orient="portrait"/>
          <w:cols w:equalWidth="0" w:num="1">
            <w:col w:w="11240"/>
          </w:cols>
          <w:pgMar w:left="320" w:top="392"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First Quarter 2026 Results and Declares Dividend of $0.17 per Share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8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May 8, 2026</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i w:val="1"/>
                <w:iCs w:val="1"/>
                <w:color w:val="auto"/>
                <w:w w:val="97"/>
              </w:rPr>
              <w:t>Page 3</w:t>
            </w:r>
          </w:p>
        </w:tc>
      </w:tr>
      <w:tr>
        <w:trPr>
          <w:trHeight w:val="825"/>
        </w:trPr>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Fee-Based Servicing Portfolio ($ in thousands)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
        </w:trPr>
        <w:tc>
          <w:tcPr>
            <w:tcW w:w="1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1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60" w:type="dxa"/>
            <w:vAlign w:val="bottom"/>
          </w:tcPr>
          <w:p>
            <w:pPr>
              <w:spacing w:after="0"/>
              <w:rPr>
                <w:sz w:val="22"/>
                <w:szCs w:val="22"/>
                <w:color w:val="auto"/>
              </w:rPr>
            </w:pPr>
          </w:p>
        </w:tc>
      </w:tr>
      <w:tr>
        <w:trPr>
          <w:trHeight w:val="27"/>
        </w:trPr>
        <w:tc>
          <w:tcPr>
            <w:tcW w:w="1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4"/>
        </w:trPr>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left="37"/>
              <w:spacing w:after="0"/>
              <w:rPr>
                <w:sz w:val="20"/>
                <w:szCs w:val="20"/>
                <w:color w:val="auto"/>
              </w:rPr>
            </w:pPr>
            <w:r>
              <w:rPr>
                <w:rFonts w:ascii="Times New Roman" w:cs="Times New Roman" w:eastAsia="Times New Roman" w:hAnsi="Times New Roman"/>
                <w:sz w:val="18"/>
                <w:szCs w:val="18"/>
                <w:b w:val="1"/>
                <w:bCs w:val="1"/>
                <w:color w:val="auto"/>
                <w:w w:val="98"/>
              </w:rPr>
              <w:t>Wtd. Avg. Fee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Wtd. Avg. Life</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Wtd. Avg. Fee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Wtd. Avg. Life</w:t>
            </w:r>
          </w:p>
        </w:tc>
      </w:tr>
      <w:tr>
        <w:trPr>
          <w:trHeight w:val="238"/>
        </w:trPr>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UPB</w:t>
            </w:r>
          </w:p>
        </w:tc>
        <w:tc>
          <w:tcPr>
            <w:tcW w:w="1300" w:type="dxa"/>
            <w:vAlign w:val="bottom"/>
          </w:tcPr>
          <w:p>
            <w:pPr>
              <w:jc w:val="center"/>
              <w:ind w:left="37"/>
              <w:spacing w:after="0"/>
              <w:rPr>
                <w:sz w:val="20"/>
                <w:szCs w:val="20"/>
                <w:color w:val="auto"/>
              </w:rPr>
            </w:pPr>
            <w:r>
              <w:rPr>
                <w:rFonts w:ascii="Times New Roman" w:cs="Times New Roman" w:eastAsia="Times New Roman" w:hAnsi="Times New Roman"/>
                <w:sz w:val="18"/>
                <w:szCs w:val="18"/>
                <w:b w:val="1"/>
                <w:bCs w:val="1"/>
                <w:color w:val="auto"/>
              </w:rPr>
              <w:t>(bps)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300" w:type="dxa"/>
            <w:vAlign w:val="bottom"/>
          </w:tcPr>
          <w:p>
            <w:pPr>
              <w:spacing w:after="0"/>
              <w:rPr>
                <w:sz w:val="20"/>
                <w:szCs w:val="20"/>
                <w:color w:val="auto"/>
              </w:rPr>
            </w:pPr>
          </w:p>
        </w:tc>
        <w:tc>
          <w:tcPr>
            <w:tcW w:w="14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UPB</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(bps)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7"/>
        </w:trPr>
        <w:tc>
          <w:tcPr>
            <w:tcW w:w="1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04"/>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Fannie Mae</w:t>
            </w:r>
          </w:p>
        </w:tc>
        <w:tc>
          <w:tcPr>
            <w:tcW w:w="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24,261,724</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22"/>
                <w:szCs w:val="22"/>
                <w:color w:val="auto"/>
                <w:w w:val="93"/>
              </w:rPr>
              <w:t>44.4</w:t>
            </w:r>
          </w:p>
        </w:tc>
        <w:tc>
          <w:tcPr>
            <w:tcW w:w="1700" w:type="dxa"/>
            <w:vAlign w:val="bottom"/>
            <w:gridSpan w:val="3"/>
            <w:shd w:val="clear" w:color="auto" w:fill="CCEEFF"/>
          </w:tcPr>
          <w:p>
            <w:pPr>
              <w:jc w:val="center"/>
              <w:ind w:left="135"/>
              <w:spacing w:after="0"/>
              <w:rPr>
                <w:sz w:val="20"/>
                <w:szCs w:val="20"/>
                <w:color w:val="auto"/>
              </w:rPr>
            </w:pPr>
            <w:r>
              <w:rPr>
                <w:rFonts w:ascii="Times New Roman" w:cs="Times New Roman" w:eastAsia="Times New Roman" w:hAnsi="Times New Roman"/>
                <w:sz w:val="22"/>
                <w:szCs w:val="22"/>
                <w:color w:val="auto"/>
                <w:w w:val="94"/>
              </w:rPr>
              <w:t>5.4</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24,085,960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22"/>
                <w:szCs w:val="22"/>
                <w:color w:val="auto"/>
                <w:w w:val="98"/>
              </w:rPr>
              <w:t>44.7</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4"/>
              </w:rPr>
              <w:t>5.5</w:t>
            </w:r>
          </w:p>
        </w:tc>
      </w:tr>
      <w:tr>
        <w:trPr>
          <w:trHeight w:val="303"/>
        </w:trPr>
        <w:tc>
          <w:tcPr>
            <w:tcW w:w="1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Freddie Mac</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7,368,979</w:t>
            </w:r>
          </w:p>
        </w:tc>
        <w:tc>
          <w:tcPr>
            <w:tcW w:w="100" w:type="dxa"/>
            <w:vAlign w:val="bottom"/>
          </w:tcPr>
          <w:p>
            <w:pPr>
              <w:spacing w:after="0"/>
              <w:rPr>
                <w:sz w:val="24"/>
                <w:szCs w:val="24"/>
                <w:color w:val="auto"/>
              </w:rPr>
            </w:pPr>
          </w:p>
        </w:tc>
        <w:tc>
          <w:tcPr>
            <w:tcW w:w="1300" w:type="dxa"/>
            <w:vAlign w:val="bottom"/>
          </w:tcPr>
          <w:p>
            <w:pPr>
              <w:jc w:val="center"/>
              <w:ind w:left="37"/>
              <w:spacing w:after="0"/>
              <w:rPr>
                <w:sz w:val="20"/>
                <w:szCs w:val="20"/>
                <w:color w:val="auto"/>
              </w:rPr>
            </w:pPr>
            <w:r>
              <w:rPr>
                <w:rFonts w:ascii="Times New Roman" w:cs="Times New Roman" w:eastAsia="Times New Roman" w:hAnsi="Times New Roman"/>
                <w:sz w:val="22"/>
                <w:szCs w:val="22"/>
                <w:color w:val="auto"/>
                <w:w w:val="93"/>
              </w:rPr>
              <w:t>18.2</w:t>
            </w:r>
          </w:p>
        </w:tc>
        <w:tc>
          <w:tcPr>
            <w:tcW w:w="1700" w:type="dxa"/>
            <w:vAlign w:val="bottom"/>
            <w:gridSpan w:val="3"/>
          </w:tcPr>
          <w:p>
            <w:pPr>
              <w:jc w:val="center"/>
              <w:ind w:left="135"/>
              <w:spacing w:after="0"/>
              <w:rPr>
                <w:sz w:val="20"/>
                <w:szCs w:val="20"/>
                <w:color w:val="auto"/>
              </w:rPr>
            </w:pPr>
            <w:r>
              <w:rPr>
                <w:rFonts w:ascii="Times New Roman" w:cs="Times New Roman" w:eastAsia="Times New Roman" w:hAnsi="Times New Roman"/>
                <w:sz w:val="22"/>
                <w:szCs w:val="22"/>
                <w:color w:val="auto"/>
                <w:w w:val="94"/>
              </w:rPr>
              <w:t>5.7</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7,455,088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22"/>
                <w:szCs w:val="22"/>
                <w:color w:val="auto"/>
                <w:w w:val="98"/>
              </w:rPr>
              <w:t>18.3</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4"/>
              </w:rPr>
              <w:t>5.9</w:t>
            </w:r>
          </w:p>
        </w:tc>
      </w:tr>
      <w:tr>
        <w:trPr>
          <w:trHeight w:val="31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Private Label</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2,554,209</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22"/>
                <w:szCs w:val="22"/>
                <w:color w:val="auto"/>
                <w:w w:val="93"/>
              </w:rPr>
              <w:t>18.7</w:t>
            </w:r>
          </w:p>
        </w:tc>
        <w:tc>
          <w:tcPr>
            <w:tcW w:w="1700" w:type="dxa"/>
            <w:vAlign w:val="bottom"/>
            <w:gridSpan w:val="3"/>
            <w:shd w:val="clear" w:color="auto" w:fill="CCEEFF"/>
          </w:tcPr>
          <w:p>
            <w:pPr>
              <w:jc w:val="center"/>
              <w:ind w:left="135"/>
              <w:spacing w:after="0"/>
              <w:rPr>
                <w:sz w:val="20"/>
                <w:szCs w:val="20"/>
                <w:color w:val="auto"/>
              </w:rPr>
            </w:pPr>
            <w:r>
              <w:rPr>
                <w:rFonts w:ascii="Times New Roman" w:cs="Times New Roman" w:eastAsia="Times New Roman" w:hAnsi="Times New Roman"/>
                <w:sz w:val="22"/>
                <w:szCs w:val="22"/>
                <w:color w:val="auto"/>
                <w:w w:val="94"/>
              </w:rPr>
              <w:t>4.3</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2,558,048</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22"/>
                <w:szCs w:val="22"/>
                <w:color w:val="auto"/>
                <w:w w:val="98"/>
              </w:rPr>
              <w:t>18.7</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4"/>
              </w:rPr>
              <w:t>4.5</w:t>
            </w:r>
          </w:p>
        </w:tc>
      </w:tr>
      <w:tr>
        <w:trPr>
          <w:trHeight w:val="303"/>
        </w:trPr>
        <w:tc>
          <w:tcPr>
            <w:tcW w:w="1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FHA</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1,584,644</w:t>
            </w:r>
          </w:p>
        </w:tc>
        <w:tc>
          <w:tcPr>
            <w:tcW w:w="100" w:type="dxa"/>
            <w:vAlign w:val="bottom"/>
          </w:tcPr>
          <w:p>
            <w:pPr>
              <w:spacing w:after="0"/>
              <w:rPr>
                <w:sz w:val="24"/>
                <w:szCs w:val="24"/>
                <w:color w:val="auto"/>
              </w:rPr>
            </w:pPr>
          </w:p>
        </w:tc>
        <w:tc>
          <w:tcPr>
            <w:tcW w:w="1300" w:type="dxa"/>
            <w:vAlign w:val="bottom"/>
          </w:tcPr>
          <w:p>
            <w:pPr>
              <w:jc w:val="center"/>
              <w:ind w:left="37"/>
              <w:spacing w:after="0"/>
              <w:rPr>
                <w:sz w:val="20"/>
                <w:szCs w:val="20"/>
                <w:color w:val="auto"/>
              </w:rPr>
            </w:pPr>
            <w:r>
              <w:rPr>
                <w:rFonts w:ascii="Times New Roman" w:cs="Times New Roman" w:eastAsia="Times New Roman" w:hAnsi="Times New Roman"/>
                <w:sz w:val="22"/>
                <w:szCs w:val="22"/>
                <w:color w:val="auto"/>
                <w:w w:val="93"/>
              </w:rPr>
              <w:t>13.8</w:t>
            </w:r>
          </w:p>
        </w:tc>
        <w:tc>
          <w:tcPr>
            <w:tcW w:w="1700" w:type="dxa"/>
            <w:vAlign w:val="bottom"/>
            <w:gridSpan w:val="3"/>
          </w:tcPr>
          <w:p>
            <w:pPr>
              <w:jc w:val="center"/>
              <w:ind w:left="135"/>
              <w:spacing w:after="0"/>
              <w:rPr>
                <w:sz w:val="20"/>
                <w:szCs w:val="20"/>
                <w:color w:val="auto"/>
              </w:rPr>
            </w:pPr>
            <w:r>
              <w:rPr>
                <w:rFonts w:ascii="Times New Roman" w:cs="Times New Roman" w:eastAsia="Times New Roman" w:hAnsi="Times New Roman"/>
                <w:sz w:val="22"/>
                <w:szCs w:val="22"/>
                <w:color w:val="auto"/>
                <w:w w:val="98"/>
              </w:rPr>
              <w:t>19.0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1,549,483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22"/>
                <w:szCs w:val="22"/>
                <w:color w:val="auto"/>
                <w:w w:val="98"/>
              </w:rPr>
              <w:t>13.9</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19.1</w:t>
            </w:r>
          </w:p>
        </w:tc>
      </w:tr>
      <w:tr>
        <w:trPr>
          <w:trHeight w:val="31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Bridge</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277,523</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22"/>
                <w:szCs w:val="22"/>
                <w:color w:val="auto"/>
                <w:w w:val="93"/>
              </w:rPr>
              <w:t>10.4</w:t>
            </w:r>
          </w:p>
        </w:tc>
        <w:tc>
          <w:tcPr>
            <w:tcW w:w="1700" w:type="dxa"/>
            <w:vAlign w:val="bottom"/>
            <w:gridSpan w:val="3"/>
            <w:shd w:val="clear" w:color="auto" w:fill="CCEEFF"/>
          </w:tcPr>
          <w:p>
            <w:pPr>
              <w:jc w:val="center"/>
              <w:ind w:left="135"/>
              <w:spacing w:after="0"/>
              <w:rPr>
                <w:sz w:val="20"/>
                <w:szCs w:val="20"/>
                <w:color w:val="auto"/>
              </w:rPr>
            </w:pPr>
            <w:r>
              <w:rPr>
                <w:rFonts w:ascii="Times New Roman" w:cs="Times New Roman" w:eastAsia="Times New Roman" w:hAnsi="Times New Roman"/>
                <w:sz w:val="22"/>
                <w:szCs w:val="22"/>
                <w:color w:val="auto"/>
                <w:w w:val="94"/>
              </w:rPr>
              <w:t>2.0</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277,738</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22"/>
                <w:szCs w:val="22"/>
                <w:color w:val="auto"/>
                <w:w w:val="98"/>
              </w:rPr>
              <w:t>10.4</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4"/>
              </w:rPr>
              <w:t>2.2</w:t>
            </w:r>
          </w:p>
        </w:tc>
      </w:tr>
      <w:tr>
        <w:trPr>
          <w:trHeight w:val="304"/>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SFR-Fixed Rate</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264,008</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22"/>
                <w:szCs w:val="22"/>
                <w:color w:val="auto"/>
                <w:w w:val="93"/>
              </w:rPr>
              <w:t>20.0</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3.8</w:t>
            </w: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277,490</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22"/>
                <w:szCs w:val="22"/>
                <w:color w:val="auto"/>
                <w:w w:val="98"/>
              </w:rPr>
              <w:t>20.0</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4.0</w:t>
            </w:r>
          </w:p>
        </w:tc>
      </w:tr>
      <w:tr>
        <w:trPr>
          <w:trHeight w:val="33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w:t>
            </w:r>
          </w:p>
        </w:tc>
        <w:tc>
          <w:tcPr>
            <w:tcW w:w="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36,311,087</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22"/>
                <w:szCs w:val="22"/>
                <w:color w:val="auto"/>
                <w:w w:val="93"/>
              </w:rPr>
              <w:t>35.5</w:t>
            </w:r>
          </w:p>
        </w:tc>
        <w:tc>
          <w:tcPr>
            <w:tcW w:w="1700" w:type="dxa"/>
            <w:vAlign w:val="bottom"/>
            <w:gridSpan w:val="3"/>
            <w:shd w:val="clear" w:color="auto" w:fill="CCEEFF"/>
          </w:tcPr>
          <w:p>
            <w:pPr>
              <w:jc w:val="center"/>
              <w:ind w:left="135"/>
              <w:spacing w:after="0"/>
              <w:rPr>
                <w:sz w:val="20"/>
                <w:szCs w:val="20"/>
                <w:color w:val="auto"/>
              </w:rPr>
            </w:pPr>
            <w:r>
              <w:rPr>
                <w:rFonts w:ascii="Times New Roman" w:cs="Times New Roman" w:eastAsia="Times New Roman" w:hAnsi="Times New Roman"/>
                <w:sz w:val="22"/>
                <w:szCs w:val="22"/>
                <w:color w:val="auto"/>
                <w:w w:val="94"/>
              </w:rPr>
              <w:t>5.9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36,203,807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22"/>
                <w:szCs w:val="22"/>
                <w:color w:val="auto"/>
                <w:w w:val="98"/>
              </w:rPr>
              <w:t>35.6</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4"/>
              </w:rPr>
              <w:t>6.1</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Loans sold under the Fannie Mae program contain an obligation to partially guarantee the performance of the loan (“loss-sharing obligations”) and includes $36.1 million for the fair value of the guarantee obligation undertaken at March 31, 2026. The Company recorded a $4.1 million net provision for loss sharing associated with CECL for the first quarter of 2026. At March 31, 2026, the Company’s total CECL allowance for loss-sharing obligations was $70.7 million, representing 0.29% of the Fannie Mae servicing portfolio.</w:t>
      </w:r>
    </w:p>
    <w:p>
      <w:pPr>
        <w:sectPr>
          <w:pgSz w:w="11900" w:h="16838" w:orient="portrait"/>
          <w:cols w:equalWidth="0" w:num="1">
            <w:col w:w="11240"/>
          </w:cols>
          <w:pgMar w:left="320" w:top="392"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First Quarter 2026 Results and Declares Dividend of $0.17 per Share</w:t>
      </w:r>
    </w:p>
    <w:p>
      <w:pPr>
        <w:spacing w:after="0" w:line="368" w:lineRule="exact"/>
        <w:rPr>
          <w:sz w:val="20"/>
          <w:szCs w:val="20"/>
          <w:color w:val="auto"/>
        </w:rPr>
      </w:pPr>
    </w:p>
    <w:p>
      <w:pPr>
        <w:ind w:left="20"/>
        <w:spacing w:after="0"/>
        <w:tabs>
          <w:tab w:leader="none" w:pos="10600" w:val="left"/>
        </w:tabs>
        <w:rPr>
          <w:sz w:val="20"/>
          <w:szCs w:val="20"/>
          <w:color w:val="auto"/>
        </w:rPr>
      </w:pPr>
      <w:r>
        <w:rPr>
          <w:rFonts w:ascii="Times New Roman" w:cs="Times New Roman" w:eastAsia="Times New Roman" w:hAnsi="Times New Roman"/>
          <w:sz w:val="22"/>
          <w:szCs w:val="22"/>
          <w:i w:val="1"/>
          <w:iCs w:val="1"/>
          <w:color w:val="auto"/>
        </w:rPr>
        <w:t>May 8, 2026</w:t>
      </w:r>
      <w:r>
        <w:rPr>
          <w:sz w:val="20"/>
          <w:szCs w:val="20"/>
          <w:color w:val="auto"/>
        </w:rPr>
        <w:tab/>
      </w:r>
      <w:r>
        <w:rPr>
          <w:rFonts w:ascii="Times New Roman" w:cs="Times New Roman" w:eastAsia="Times New Roman" w:hAnsi="Times New Roman"/>
          <w:sz w:val="21"/>
          <w:szCs w:val="21"/>
          <w:i w:val="1"/>
          <w:iCs w:val="1"/>
          <w:color w:val="auto"/>
        </w:rPr>
        <w:t>Page 4</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Structured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Portfolio and Investment Activity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780" w:type="dxa"/>
            <w:vAlign w:val="bottom"/>
            <w:gridSpan w:val="1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Structured Portfolio Activity ($ in thousands)</w:t>
            </w:r>
          </w:p>
        </w:tc>
        <w:tc>
          <w:tcPr>
            <w:tcW w:w="118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4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720" w:type="dxa"/>
            <w:vAlign w:val="bottom"/>
            <w:gridSpan w:val="9"/>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8"/>
              </w:rPr>
              <w:t>Quarter Ended</w:t>
            </w:r>
          </w:p>
        </w:tc>
        <w:tc>
          <w:tcPr>
            <w:tcW w:w="1180" w:type="dxa"/>
            <w:vAlign w:val="bottom"/>
          </w:tcPr>
          <w:p>
            <w:pPr>
              <w:spacing w:after="0"/>
              <w:rPr>
                <w:sz w:val="22"/>
                <w:szCs w:val="22"/>
                <w:color w:val="auto"/>
              </w:rPr>
            </w:pPr>
          </w:p>
        </w:tc>
      </w:tr>
      <w:tr>
        <w:trPr>
          <w:trHeight w:val="27"/>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63"/>
        </w:trPr>
        <w:tc>
          <w:tcPr>
            <w:tcW w:w="4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6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80" w:type="dxa"/>
            <w:vAlign w:val="bottom"/>
            <w:gridSpan w:val="5"/>
          </w:tcPr>
          <w:p>
            <w:pPr>
              <w:jc w:val="right"/>
              <w:ind w:right="754"/>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4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UPB</w:t>
            </w:r>
          </w:p>
        </w:tc>
        <w:tc>
          <w:tcPr>
            <w:tcW w:w="10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UPB</w:t>
            </w:r>
          </w:p>
        </w:tc>
        <w:tc>
          <w:tcPr>
            <w:tcW w:w="1180" w:type="dxa"/>
            <w:vAlign w:val="bottom"/>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0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Bridge:</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303"/>
        </w:trPr>
        <w:tc>
          <w:tcPr>
            <w:tcW w:w="48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Multifamily</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405,600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336,945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12"/>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2"/>
                <w:szCs w:val="22"/>
                <w:color w:val="auto"/>
              </w:rPr>
              <w:t>SFR</w:t>
            </w: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321,122</w:t>
            </w: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668,059</w:t>
            </w: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303"/>
        </w:trPr>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726,722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1,005,004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318"/>
        </w:trPr>
        <w:tc>
          <w:tcPr>
            <w:tcW w:w="4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303"/>
        </w:trPr>
        <w:tc>
          <w:tcPr>
            <w:tcW w:w="4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Construction - Multifamily</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40,870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61,206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11"/>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Mezzanine/Preferred Equity</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36,922</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11"/>
        </w:trPr>
        <w:tc>
          <w:tcPr>
            <w:tcW w:w="4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Originations</w:t>
            </w: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767,592</w:t>
            </w:r>
          </w:p>
        </w:tc>
        <w:tc>
          <w:tcPr>
            <w:tcW w:w="80" w:type="dxa"/>
            <w:vAlign w:val="bottom"/>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1,103,132</w:t>
            </w:r>
          </w:p>
        </w:tc>
        <w:tc>
          <w:tcPr>
            <w:tcW w:w="80" w:type="dxa"/>
            <w:vAlign w:val="bottom"/>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05"/>
        </w:trPr>
        <w:tc>
          <w:tcPr>
            <w:tcW w:w="4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310"/>
        </w:trPr>
        <w:tc>
          <w:tcPr>
            <w:tcW w:w="4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Number of Loans Originated</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304"/>
        </w:trPr>
        <w:tc>
          <w:tcPr>
            <w:tcW w:w="4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303"/>
        </w:trPr>
        <w:tc>
          <w:tcPr>
            <w:tcW w:w="4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Commitments: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Construction - Multifamily</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113,070</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62,000</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304"/>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SFR</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53,000</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245,750</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r>
      <w:tr>
        <w:trPr>
          <w:trHeight w:val="33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 Commitments</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166,070</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307,750</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217"/>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Loan Runoff</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861,033</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537,519</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1014"/>
        </w:trPr>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10"/>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Structured Portfolio ($ in thousands)</w:t>
            </w:r>
          </w:p>
        </w:tc>
        <w:tc>
          <w:tcPr>
            <w:tcW w:w="1180" w:type="dxa"/>
            <w:vAlign w:val="bottom"/>
          </w:tcPr>
          <w:p>
            <w:pPr>
              <w:spacing w:after="0"/>
              <w:rPr>
                <w:sz w:val="24"/>
                <w:szCs w:val="24"/>
                <w:color w:val="auto"/>
              </w:rPr>
            </w:pPr>
          </w:p>
        </w:tc>
      </w:tr>
      <w:tr>
        <w:trPr>
          <w:trHeight w:val="27"/>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5"/>
          </w:tcPr>
          <w:p>
            <w:pPr>
              <w:jc w:val="right"/>
              <w:ind w:right="754"/>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UPB</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UPB</w:t>
            </w:r>
          </w:p>
        </w:tc>
        <w:tc>
          <w:tcPr>
            <w:tcW w:w="1180" w:type="dxa"/>
            <w:vAlign w:val="bottom"/>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0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Bridge:</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303"/>
        </w:trPr>
        <w:tc>
          <w:tcPr>
            <w:tcW w:w="48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Multifamily</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7,897,122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8,143,114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318"/>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2"/>
                <w:szCs w:val="22"/>
                <w:color w:val="auto"/>
              </w:rPr>
              <w:t>SFR</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3,265,802</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3,184,910</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04"/>
        </w:trPr>
        <w:tc>
          <w:tcPr>
            <w:tcW w:w="4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22"/>
                <w:szCs w:val="22"/>
                <w:color w:val="auto"/>
              </w:rPr>
              <w:t>Other</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46,519</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&lt;1%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43,734</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&lt;1%</w:t>
            </w:r>
          </w:p>
        </w:tc>
      </w:tr>
      <w:tr>
        <w:trPr>
          <w:trHeight w:val="310"/>
        </w:trPr>
        <w:tc>
          <w:tcPr>
            <w:tcW w:w="4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11,209,443</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11,371,758</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310"/>
        </w:trPr>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Mezzanine/Preferred Equity</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497,961</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492,330</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04"/>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Construction - Multifamily</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289,889</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249,019</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3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 Portfolio</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11,997,293</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12,113,107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92"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First Quarter 2026 Results and Declares Dividend of $0.17 per Share</w:t>
      </w:r>
    </w:p>
    <w:p>
      <w:pPr>
        <w:spacing w:after="0" w:line="368" w:lineRule="exact"/>
        <w:rPr>
          <w:sz w:val="20"/>
          <w:szCs w:val="20"/>
          <w:color w:val="auto"/>
        </w:rPr>
      </w:pPr>
    </w:p>
    <w:p>
      <w:pPr>
        <w:ind w:left="20"/>
        <w:spacing w:after="0"/>
        <w:tabs>
          <w:tab w:leader="none" w:pos="10600" w:val="left"/>
        </w:tabs>
        <w:rPr>
          <w:sz w:val="20"/>
          <w:szCs w:val="20"/>
          <w:color w:val="auto"/>
        </w:rPr>
      </w:pPr>
      <w:r>
        <w:rPr>
          <w:rFonts w:ascii="Times New Roman" w:cs="Times New Roman" w:eastAsia="Times New Roman" w:hAnsi="Times New Roman"/>
          <w:sz w:val="22"/>
          <w:szCs w:val="22"/>
          <w:i w:val="1"/>
          <w:iCs w:val="1"/>
          <w:color w:val="auto"/>
        </w:rPr>
        <w:t>May 8, 2026</w:t>
      </w:r>
      <w:r>
        <w:rPr>
          <w:sz w:val="20"/>
          <w:szCs w:val="20"/>
          <w:color w:val="auto"/>
        </w:rPr>
        <w:tab/>
      </w:r>
      <w:r>
        <w:rPr>
          <w:rFonts w:ascii="Times New Roman" w:cs="Times New Roman" w:eastAsia="Times New Roman" w:hAnsi="Times New Roman"/>
          <w:sz w:val="21"/>
          <w:szCs w:val="21"/>
          <w:i w:val="1"/>
          <w:iCs w:val="1"/>
          <w:color w:val="auto"/>
        </w:rPr>
        <w:t>Page 5</w:t>
      </w:r>
    </w:p>
    <w:p>
      <w:pPr>
        <w:spacing w:after="0" w:line="200" w:lineRule="exact"/>
        <w:rPr>
          <w:sz w:val="20"/>
          <w:szCs w:val="20"/>
          <w:color w:val="auto"/>
        </w:rPr>
      </w:pPr>
    </w:p>
    <w:p>
      <w:pPr>
        <w:spacing w:after="0" w:line="3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At March 31, 2026, the loan and investment portfolio’s unpaid principal balance ("UPB"), excluding loan loss reserves, was $12.00 billion, with a weighted average interest rate of 6.49%, compared to $12.11 billion and 6.49% at December 31, 2025. Including certain fees earned and costs associated with the loan and investment portfolio, the weighted average interest rate was 7.03% at March 31, 2026, compared to 7.08% at December 31, 2025.</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average balance of the Company’s loan and investment portfolio during the first quarter of 2026, excluding loan loss reserves, was $12.04 billion with a weighted average yield of 7.50%, compared to $11.84 billion and 7.38% for the fourth quarter of 2025. The increase in the weighted average yield was primarily due to a net decline in loan delinquencies in the first quarter of 2026, partially offset by a decrease in the average SOFR rate in the first quarter of 2026.</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During the first quarter of 2026, the Company recorded a $3.6 million net provision for loan losses associated with CECL. At March 31, 2026, the Company’s total allowance for loan losses was $131.2 million. The Company had nineteen non-performing loans with a UPB of $481.5 million, before related loan loss reserves of $16.1 million, compared to twenty-six non-performing loans with a UPB of $569.1 million, before loan loss reserves of $10.2 million at December 31, 2025. In addition, the Company recorded $12.5 million of impairments on six real estate owned properties.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At March 31, 2026, the Company had no loans that were less than 60 days past due classified as non-accrual, compared to three loans with a total UPB of $48.3 million at December 31, 2025.</w:t>
      </w:r>
    </w:p>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During the first quarter of 2026, the Company modified 13 loans to borrowers experiencing financial difficulty with a total UPB of $478.8 million, the majority of which had borrowers investing additional capital to recapitalize their deals. In addition, of the total modified loans for the first quarter, $115.4 million were non-performing at December 31, 2025, and are now current in accordance with their modified terms.</w:t>
      </w:r>
    </w:p>
    <w:p>
      <w:pPr>
        <w:spacing w:after="0" w:line="19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Company foreclosed on three loans with a UPB totaling $58.9 million, selling one of these foreclosed properties and one existing REO property for $33.0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Financing Activity</w:t>
      </w:r>
    </w:p>
    <w:p>
      <w:pPr>
        <w:spacing w:after="0" w:line="22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The balance of debt that finances the Company’s loan and investment portfolio at March 31, 2026 was $10.71 billion with a weighted average interest rate including fees of 6.40%, as compared to $10.46 billion and a rate of 6.45% at December 31, 2025.</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average balance of debt that finances the Company’s loan and investment portfolio for the first quarter of 2026 was $10.38 billion, as compared to $10.09 billion for the fourth quarter of 2025. The average cost of borrowings for the first quarter of 2026 was 6.67%, compared to 6.81% for the fourth quarter of 2025. The decrease in average cost was primarily due to a decrease in the average SOFR rate in the first quarter of 2026, partially offset by the issuance of $400 million of senior unsecured notes in December 2025.</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Company completed a $762.6 million collateralized securitization secured initially by a portfolio of real estate related assets and cash. Investment grade-rated notes totaling $674.0 million were issued, and the Company retained subordinate interests in the issuing vehicle of $88.6 million. The facility has</w:t>
      </w:r>
    </w:p>
    <w:p>
      <w:pPr>
        <w:sectPr>
          <w:pgSz w:w="11900" w:h="16838" w:orient="portrait"/>
          <w:cols w:equalWidth="0" w:num="1">
            <w:col w:w="11240"/>
          </w:cols>
          <w:pgMar w:left="320" w:top="392"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First Quarter 2026 Results and Declares Dividend of $0.17 per Share</w:t>
      </w:r>
    </w:p>
    <w:p>
      <w:pPr>
        <w:spacing w:after="0" w:line="368" w:lineRule="exact"/>
        <w:rPr>
          <w:sz w:val="20"/>
          <w:szCs w:val="20"/>
          <w:color w:val="auto"/>
        </w:rPr>
      </w:pPr>
    </w:p>
    <w:p>
      <w:pPr>
        <w:ind w:left="20"/>
        <w:spacing w:after="0"/>
        <w:tabs>
          <w:tab w:leader="none" w:pos="10600" w:val="left"/>
        </w:tabs>
        <w:rPr>
          <w:sz w:val="20"/>
          <w:szCs w:val="20"/>
          <w:color w:val="auto"/>
        </w:rPr>
      </w:pPr>
      <w:r>
        <w:rPr>
          <w:rFonts w:ascii="Times New Roman" w:cs="Times New Roman" w:eastAsia="Times New Roman" w:hAnsi="Times New Roman"/>
          <w:sz w:val="22"/>
          <w:szCs w:val="22"/>
          <w:i w:val="1"/>
          <w:iCs w:val="1"/>
          <w:color w:val="auto"/>
        </w:rPr>
        <w:t>May 8, 2026</w:t>
      </w:r>
      <w:r>
        <w:rPr>
          <w:sz w:val="20"/>
          <w:szCs w:val="20"/>
          <w:color w:val="auto"/>
        </w:rPr>
        <w:tab/>
      </w:r>
      <w:r>
        <w:rPr>
          <w:rFonts w:ascii="Times New Roman" w:cs="Times New Roman" w:eastAsia="Times New Roman" w:hAnsi="Times New Roman"/>
          <w:sz w:val="21"/>
          <w:szCs w:val="21"/>
          <w:i w:val="1"/>
          <w:iCs w:val="1"/>
          <w:color w:val="auto"/>
        </w:rPr>
        <w:t>Page 6</w:t>
      </w:r>
    </w:p>
    <w:p>
      <w:pPr>
        <w:spacing w:after="0" w:line="200" w:lineRule="exact"/>
        <w:rPr>
          <w:sz w:val="20"/>
          <w:szCs w:val="20"/>
          <w:color w:val="auto"/>
        </w:rPr>
      </w:pPr>
    </w:p>
    <w:p>
      <w:pPr>
        <w:spacing w:after="0" w:line="3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 two and a half year asset replenishment period and an initial weighted average interest rate of 1.73% over term SOFR, excluding fees and transaction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Dividend</w: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announced today that its Board of Directors has declared a quarterly cash dividend of $0.17 per share of common stock for the quarter ended March 31, 2026. The dividend is payable on June 5, 2026 to common stockholders of record on May 22,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Earnings Conference Call</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will host a conference call today at 10:00 a.m. Eastern Time. A live webcast and replay of the conference call will be available at www.arbor.com in the investor relations section of the Company’s website, or you can access the call telephonically at least ten minutes prior to the conference call. The dial-in numbers are (800) 267-6316 for domestic callers and (203) 518-9783 for international callers. Please use participant passcode ABRQ126 when prompted by the operator.</w:t>
      </w:r>
    </w:p>
    <w:p>
      <w:pPr>
        <w:spacing w:after="0" w:line="17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 telephonic replay of the call will be available until May 15, 2026. The replay dial-in numbers are (800) 938-1603 for domestic callers and (402) 220-1549 for international callers.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Arbor Realty Trust, Inc.</w:t>
      </w:r>
    </w:p>
    <w:p>
      <w:pPr>
        <w:spacing w:after="0" w:line="2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auto"/>
        </w:rPr>
        <w:t>Arbor Realty Trust, Inc.</w:t>
      </w:r>
      <w:r>
        <w:rPr>
          <w:rFonts w:ascii="Times New Roman" w:cs="Times New Roman" w:eastAsia="Times New Roman" w:hAnsi="Times New Roman"/>
          <w:sz w:val="22"/>
          <w:szCs w:val="22"/>
          <w:color w:val="auto"/>
        </w:rPr>
        <w:t xml:space="preserve"> (NYSE: </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xml:space="preserve">) is a nationwide real estate investment trust and direct lender, providing loan origination and servicing for multifamily, single-family rental (SFR) portfolios, and other diverse commercial real estate assets. Headquartered in New York, Arbor manages a multibillion-dollar servicing portfolio, specializing in government-sponsored enterprise products. Arbor is a leading </w:t>
      </w:r>
      <w:r>
        <w:rPr>
          <w:rFonts w:ascii="Times New Roman" w:cs="Times New Roman" w:eastAsia="Times New Roman" w:hAnsi="Times New Roman"/>
          <w:sz w:val="22"/>
          <w:szCs w:val="22"/>
          <w:u w:val="single" w:color="auto"/>
          <w:color w:val="auto"/>
        </w:rPr>
        <w:t>Fannie Mae DUS®</w:t>
      </w:r>
      <w:r>
        <w:rPr>
          <w:rFonts w:ascii="Times New Roman" w:cs="Times New Roman" w:eastAsia="Times New Roman" w:hAnsi="Times New Roman"/>
          <w:sz w:val="22"/>
          <w:szCs w:val="22"/>
          <w:color w:val="auto"/>
        </w:rPr>
        <w:t xml:space="preserve"> lender and </w:t>
      </w:r>
      <w:r>
        <w:rPr>
          <w:rFonts w:ascii="Times New Roman" w:cs="Times New Roman" w:eastAsia="Times New Roman" w:hAnsi="Times New Roman"/>
          <w:sz w:val="22"/>
          <w:szCs w:val="22"/>
          <w:u w:val="single" w:color="auto"/>
          <w:color w:val="auto"/>
        </w:rPr>
        <w:t>Freddie Mac Optigo®</w:t>
      </w:r>
      <w:r>
        <w:rPr>
          <w:rFonts w:ascii="Times New Roman" w:cs="Times New Roman" w:eastAsia="Times New Roman" w:hAnsi="Times New Roman"/>
          <w:sz w:val="22"/>
          <w:szCs w:val="22"/>
          <w:color w:val="auto"/>
        </w:rPr>
        <w:t xml:space="preserve"> Seller/Servicer, and an approved FHA Multifamily Accelerated Processing (MAP) lender. Arbor’s product platform also includes </w:t>
      </w:r>
      <w:r>
        <w:rPr>
          <w:rFonts w:ascii="Times New Roman" w:cs="Times New Roman" w:eastAsia="Times New Roman" w:hAnsi="Times New Roman"/>
          <w:sz w:val="22"/>
          <w:szCs w:val="22"/>
          <w:u w:val="single" w:color="auto"/>
          <w:color w:val="auto"/>
        </w:rPr>
        <w:t>bridge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CMBS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mezzanine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preferred equity</w:t>
      </w:r>
      <w:r>
        <w:rPr>
          <w:rFonts w:ascii="Times New Roman" w:cs="Times New Roman" w:eastAsia="Times New Roman" w:hAnsi="Times New Roman"/>
          <w:sz w:val="22"/>
          <w:szCs w:val="22"/>
          <w:color w:val="auto"/>
        </w:rPr>
        <w:t xml:space="preserve"> loans. Rated by Standard and Poor’s and Fitch Ratings, Arbor is committed to building on its reputation for service, quality, and customized solutions with an unparalleled dedication to providing our clients excellence over the entire life of a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Safe Harbor Statement</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Certain items in this press release may constitute forward-looking statements within the meaning of the “safe harbor” provisions of the Private Securities Litigation Reform Act of 1995. These statements are based on management’s current expectations and beliefs and are subject to a number of trends and uncertainties that could cause actual results to differ materially from those described in the forward-looking statements. Arbor can give no assurance that its expectations will be attained. Factors that could cause actual results to differ materially from Arbor’s expectations include, but are not limited to, changes in economic conditions generally, and the real estate markets specifically, continued ability to source new investments, changes in interest rates and/or credit spreads, and other risks detailed in Arbor’s Annual Report on Form 10-K for the year ended December 31, 2025 and its other reports filed with the SEC. Such forward-looking statements speak only as of the date of this press release. Arbor expressly disclaims any obligation or undertaking to release publicly any updates or revisions to any</w:t>
      </w:r>
    </w:p>
    <w:p>
      <w:pPr>
        <w:sectPr>
          <w:pgSz w:w="11900" w:h="16838" w:orient="portrait"/>
          <w:cols w:equalWidth="0" w:num="1">
            <w:col w:w="11240"/>
          </w:cols>
          <w:pgMar w:left="320" w:top="392"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First Quarter 2026 Results and Declares Dividend of $0.17 per Share</w:t>
      </w:r>
    </w:p>
    <w:p>
      <w:pPr>
        <w:spacing w:after="0" w:line="368" w:lineRule="exact"/>
        <w:rPr>
          <w:sz w:val="20"/>
          <w:szCs w:val="20"/>
          <w:color w:val="auto"/>
        </w:rPr>
      </w:pPr>
    </w:p>
    <w:p>
      <w:pPr>
        <w:ind w:left="20"/>
        <w:spacing w:after="0"/>
        <w:tabs>
          <w:tab w:leader="none" w:pos="10600" w:val="left"/>
        </w:tabs>
        <w:rPr>
          <w:sz w:val="20"/>
          <w:szCs w:val="20"/>
          <w:color w:val="auto"/>
        </w:rPr>
      </w:pPr>
      <w:r>
        <w:rPr>
          <w:rFonts w:ascii="Times New Roman" w:cs="Times New Roman" w:eastAsia="Times New Roman" w:hAnsi="Times New Roman"/>
          <w:sz w:val="22"/>
          <w:szCs w:val="22"/>
          <w:i w:val="1"/>
          <w:iCs w:val="1"/>
          <w:color w:val="auto"/>
        </w:rPr>
        <w:t>May 8, 2026</w:t>
      </w:r>
      <w:r>
        <w:rPr>
          <w:sz w:val="20"/>
          <w:szCs w:val="20"/>
          <w:color w:val="auto"/>
        </w:rPr>
        <w:tab/>
      </w:r>
      <w:r>
        <w:rPr>
          <w:rFonts w:ascii="Times New Roman" w:cs="Times New Roman" w:eastAsia="Times New Roman" w:hAnsi="Times New Roman"/>
          <w:sz w:val="21"/>
          <w:szCs w:val="21"/>
          <w:i w:val="1"/>
          <w:iCs w:val="1"/>
          <w:color w:val="auto"/>
        </w:rPr>
        <w:t>Page 7</w:t>
      </w:r>
    </w:p>
    <w:p>
      <w:pPr>
        <w:spacing w:after="0" w:line="200" w:lineRule="exact"/>
        <w:rPr>
          <w:sz w:val="20"/>
          <w:szCs w:val="20"/>
          <w:color w:val="auto"/>
        </w:rPr>
      </w:pPr>
    </w:p>
    <w:p>
      <w:pPr>
        <w:spacing w:after="0" w:line="33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forward-looking statements contained herein to reflect any change in Arbor’s expectations with regard thereto or change in events, conditions, or circumstances on which any such statement is based.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37" w:lineRule="exact"/>
        <w:rPr>
          <w:sz w:val="20"/>
          <w:szCs w:val="20"/>
          <w:color w:val="auto"/>
        </w:rPr>
      </w:pPr>
    </w:p>
    <w:p>
      <w:pPr>
        <w:jc w:val="both"/>
        <w:ind w:left="340" w:hanging="332"/>
        <w:spacing w:after="0" w:line="252" w:lineRule="auto"/>
        <w:tabs>
          <w:tab w:leader="none" w:pos="3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quarterly earnings conference call, the Company may discuss non-GAAP financial measures as defined by SEC Regulation G. In addition, the Company has used non-GAAP financial measures in this press release. A supplemental schedule of non-GAAP financial measures and the comparable GAAP financial measure can be found on the last two pages of this release.</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Contact:</w:t>
            </w:r>
          </w:p>
        </w:tc>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Arbor Realty Trust, Inc.</w:t>
            </w:r>
          </w:p>
        </w:tc>
      </w:tr>
      <w:tr>
        <w:trPr>
          <w:trHeight w:val="277"/>
        </w:trPr>
        <w:tc>
          <w:tcPr>
            <w:tcW w:w="74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Investor Relations</w:t>
            </w:r>
          </w:p>
        </w:tc>
      </w:tr>
      <w:tr>
        <w:trPr>
          <w:trHeight w:val="256"/>
        </w:trPr>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516-506-4200</w:t>
            </w:r>
          </w:p>
        </w:tc>
      </w:tr>
      <w:tr>
        <w:trPr>
          <w:trHeight w:val="230"/>
        </w:trPr>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w w:val="97"/>
              </w:rPr>
              <w:t>InvestorRelations@arbor.com</w:t>
            </w:r>
          </w:p>
        </w:tc>
      </w:tr>
    </w:tbl>
    <w:p>
      <w:pPr>
        <w:sectPr>
          <w:pgSz w:w="11900" w:h="16838" w:orient="portrait"/>
          <w:cols w:equalWidth="0" w:num="1">
            <w:col w:w="11240"/>
          </w:cols>
          <w:pgMar w:left="320" w:top="392"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First Quarter 2026 Results and Declares Dividend of $0.17 per Share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24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May 8, 2026</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Page 8</w:t>
            </w:r>
          </w:p>
        </w:tc>
      </w:tr>
      <w:tr>
        <w:trPr>
          <w:trHeight w:val="631"/>
        </w:trPr>
        <w:tc>
          <w:tcPr>
            <w:tcW w:w="824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824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Consolidated Statements of Income - (Unaudited)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24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 in thousands—except share and per share data)</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3"/>
        </w:trPr>
        <w:tc>
          <w:tcPr>
            <w:tcW w:w="8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Quarter Ended March 31,</w:t>
            </w:r>
          </w:p>
        </w:tc>
      </w:tr>
      <w:tr>
        <w:trPr>
          <w:trHeight w:val="236"/>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240,693</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165,251</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75,442</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derivative instruments,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58,721</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46,036</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16,312</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real estate owned</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w:t>
            </w:r>
          </w:p>
        </w:tc>
      </w:tr>
      <w:tr>
        <w:trPr>
          <w:trHeight w:val="237"/>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expenses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80,427</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extinguishment of debt, loss on real estate, income (loss) from equity affiliates and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53,736</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equity affiliates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43,382</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9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5"/>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194,194,906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190,060,776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211,735,731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206,862,320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7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i w:val="1"/>
          <w:iCs w:val="1"/>
          <w:color w:val="auto"/>
        </w:rPr>
        <w:t>Arbor Realty Trust Reports First Quarter 2026 Results and Declares Dividend of $0.17 per Share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30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May 8, 2026</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Page 9</w:t>
            </w:r>
          </w:p>
        </w:tc>
      </w:tr>
      <w:tr>
        <w:trPr>
          <w:trHeight w:val="631"/>
        </w:trPr>
        <w:tc>
          <w:tcPr>
            <w:tcW w:w="9300" w:type="dxa"/>
            <w:vAlign w:val="bottom"/>
            <w:gridSpan w:val="4"/>
          </w:tcPr>
          <w:p>
            <w:pPr>
              <w:jc w:val="center"/>
              <w:ind w:left="1818"/>
              <w:spacing w:after="0"/>
              <w:rPr>
                <w:sz w:val="20"/>
                <w:szCs w:val="20"/>
                <w:color w:val="auto"/>
              </w:rPr>
            </w:pPr>
            <w:r>
              <w:rPr>
                <w:rFonts w:ascii="Times New Roman" w:cs="Times New Roman" w:eastAsia="Times New Roman" w:hAnsi="Times New Roman"/>
                <w:sz w:val="18"/>
                <w:szCs w:val="18"/>
                <w:b w:val="1"/>
                <w:bCs w:val="1"/>
                <w:color w:val="auto"/>
                <w:w w:val="99"/>
              </w:rPr>
              <w:t>ARBOR REALTY TRUST, INC. AND SUBSIDIARIES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6"/>
        </w:trPr>
        <w:tc>
          <w:tcPr>
            <w:tcW w:w="7300" w:type="dxa"/>
            <w:vAlign w:val="bottom"/>
          </w:tcPr>
          <w:p>
            <w:pPr>
              <w:jc w:val="center"/>
              <w:ind w:left="3818"/>
              <w:spacing w:after="0"/>
              <w:rPr>
                <w:sz w:val="20"/>
                <w:szCs w:val="20"/>
                <w:color w:val="auto"/>
              </w:rPr>
            </w:pPr>
            <w:r>
              <w:rPr>
                <w:rFonts w:ascii="Times New Roman" w:cs="Times New Roman" w:eastAsia="Times New Roman" w:hAnsi="Times New Roman"/>
                <w:sz w:val="18"/>
                <w:szCs w:val="18"/>
                <w:color w:val="auto"/>
                <w:w w:val="99"/>
              </w:rPr>
              <w:t>Consolidated Balance Sheets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7560" w:type="dxa"/>
            <w:vAlign w:val="bottom"/>
            <w:gridSpan w:val="2"/>
          </w:tcPr>
          <w:p>
            <w:pPr>
              <w:jc w:val="center"/>
              <w:ind w:left="3578"/>
              <w:spacing w:after="0"/>
              <w:rPr>
                <w:sz w:val="20"/>
                <w:szCs w:val="20"/>
                <w:color w:val="auto"/>
              </w:rPr>
            </w:pPr>
            <w:r>
              <w:rPr>
                <w:rFonts w:ascii="Times New Roman" w:cs="Times New Roman" w:eastAsia="Times New Roman" w:hAnsi="Times New Roman"/>
                <w:sz w:val="18"/>
                <w:szCs w:val="18"/>
                <w:color w:val="auto"/>
                <w:w w:val="99"/>
              </w:rPr>
              <w:t>($ in thousands—except share and per share data)</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50"/>
        </w:trPr>
        <w:tc>
          <w:tcPr>
            <w:tcW w:w="7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56"/>
        </w:trPr>
        <w:tc>
          <w:tcPr>
            <w:tcW w:w="7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00" w:type="dxa"/>
            <w:vAlign w:val="bottom"/>
          </w:tcPr>
          <w:p>
            <w:pPr>
              <w:spacing w:after="0"/>
              <w:rPr>
                <w:sz w:val="22"/>
                <w:szCs w:val="22"/>
                <w:color w:val="auto"/>
              </w:rPr>
            </w:pPr>
          </w:p>
        </w:tc>
        <w:tc>
          <w:tcPr>
            <w:tcW w:w="170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43"/>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spacing w:after="0"/>
              <w:rPr>
                <w:sz w:val="21"/>
                <w:szCs w:val="21"/>
                <w:color w:val="auto"/>
              </w:rPr>
            </w:pP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407,126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482,875</w:t>
            </w:r>
          </w:p>
        </w:tc>
      </w:tr>
      <w:tr>
        <w:trPr>
          <w:trHeight w:val="25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67,347</w:t>
            </w: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and investments, net (allowance for credit losses of $131,223 and $145,971)</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11,835,381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11,934,248</w:t>
            </w:r>
          </w:p>
        </w:tc>
      </w:tr>
      <w:tr>
        <w:trPr>
          <w:trHeight w:val="25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held-for-sale, net</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409,081</w:t>
            </w: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mortgage servicing rights, net</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331,929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340,842</w:t>
            </w:r>
          </w:p>
        </w:tc>
      </w:tr>
      <w:tr>
        <w:trPr>
          <w:trHeight w:val="25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held-to-maturity, net (allowance for credit losses of $15,125 and $17,013)</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156,087</w:t>
            </w: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equity affiliates</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57,966</w:t>
            </w:r>
          </w:p>
        </w:tc>
      </w:tr>
      <w:tr>
        <w:trPr>
          <w:trHeight w:val="25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owned, net</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520,766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498,938</w:t>
            </w: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from related party</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6,534</w:t>
            </w:r>
          </w:p>
        </w:tc>
      </w:tr>
      <w:tr>
        <w:trPr>
          <w:trHeight w:val="25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other intangible assets</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86,553</w:t>
            </w:r>
          </w:p>
        </w:tc>
      </w:tr>
      <w:tr>
        <w:trPr>
          <w:trHeight w:val="237"/>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426,908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454,432</w:t>
            </w:r>
          </w:p>
        </w:tc>
      </w:tr>
      <w:tr>
        <w:trPr>
          <w:trHeight w:val="268"/>
        </w:trPr>
        <w:tc>
          <w:tcPr>
            <w:tcW w:w="7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14,692,485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14,494,903</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and repurchase facilities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4,967,952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5,149,651</w:t>
            </w:r>
          </w:p>
        </w:tc>
      </w:tr>
      <w:tr>
        <w:trPr>
          <w:trHeight w:val="25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Securitized debt</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3,931,468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3,468,258</w:t>
            </w: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unsecured notes</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2,030,947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2,029,078</w:t>
            </w:r>
          </w:p>
        </w:tc>
      </w:tr>
      <w:tr>
        <w:trPr>
          <w:trHeight w:val="25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Junior subordinated notes to subsidiary trust issuing preferred securities</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145,497</w:t>
            </w: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payable - real estate owned</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222,965</w:t>
            </w:r>
          </w:p>
        </w:tc>
      </w:tr>
      <w:tr>
        <w:trPr>
          <w:trHeight w:val="25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to related party</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to borrowers</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33,451</w:t>
            </w:r>
          </w:p>
        </w:tc>
      </w:tr>
      <w:tr>
        <w:trPr>
          <w:trHeight w:val="25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loss-sharing obligations</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97,579</w:t>
            </w:r>
          </w:p>
        </w:tc>
      </w:tr>
      <w:tr>
        <w:trPr>
          <w:trHeight w:val="237"/>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245,649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280,770</w:t>
            </w:r>
          </w:p>
        </w:tc>
      </w:tr>
      <w:tr>
        <w:trPr>
          <w:trHeight w:val="23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11,713,435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11,427,750</w:t>
            </w:r>
          </w:p>
        </w:tc>
      </w:tr>
      <w:tr>
        <w:trPr>
          <w:trHeight w:val="203"/>
        </w:trPr>
        <w:tc>
          <w:tcPr>
            <w:tcW w:w="7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33"/>
        </w:trPr>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Arbor Realty Trust, Inc. stockholders' equity:</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12"/>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Preferred stock, cumulative, redeemable, $0.01 par value: 100,000,000 shares authorized, shares issued</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43"/>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outstanding by period:</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633,683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633,683</w:t>
            </w:r>
          </w:p>
        </w:tc>
      </w:tr>
      <w:tr>
        <w:trPr>
          <w:trHeight w:val="233"/>
        </w:trPr>
        <w:tc>
          <w:tcPr>
            <w:tcW w:w="7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Special voting preferred shares - 16,170,218 and 16,169,858 shares</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53"/>
        </w:trPr>
        <w:tc>
          <w:tcPr>
            <w:tcW w:w="7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6.375% Series D - 9,200,000 shares</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33"/>
        </w:trPr>
        <w:tc>
          <w:tcPr>
            <w:tcW w:w="73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6.25% Series E - 5,750,000 shares</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53"/>
        </w:trPr>
        <w:tc>
          <w:tcPr>
            <w:tcW w:w="7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6.25% Series F - 11,342,000 shares</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02"/>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$0.01 par value: 500,000,000 shares authorized - 192,370,465 and 195,491,855 shares issued</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outstanding</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w:t>
            </w:r>
          </w:p>
        </w:tc>
      </w:tr>
      <w:tr>
        <w:trPr>
          <w:trHeight w:val="253"/>
        </w:trPr>
        <w:tc>
          <w:tcPr>
            <w:tcW w:w="7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2,428,500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2,454,312</w:t>
            </w:r>
          </w:p>
        </w:tc>
      </w:tr>
      <w:tr>
        <w:trPr>
          <w:trHeight w:val="236"/>
        </w:trPr>
        <w:tc>
          <w:tcPr>
            <w:tcW w:w="73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(194,058)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(136,597)</w:t>
            </w:r>
          </w:p>
        </w:tc>
      </w:tr>
      <w:tr>
        <w:trPr>
          <w:trHeight w:val="24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Arbor Realty Trust, Inc. stockholders' equity</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2,870,049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2,953,353</w:t>
            </w:r>
          </w:p>
        </w:tc>
      </w:tr>
      <w:tr>
        <w:trPr>
          <w:trHeight w:val="236"/>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109,001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113,800</w:t>
            </w:r>
          </w:p>
        </w:tc>
      </w:tr>
      <w:tr>
        <w:trPr>
          <w:trHeight w:val="23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26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2,979,050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3,067,153</w:t>
            </w:r>
          </w:p>
        </w:tc>
      </w:tr>
      <w:tr>
        <w:trPr>
          <w:trHeight w:val="24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14,692,485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14,494,903</w:t>
            </w:r>
          </w:p>
        </w:tc>
      </w:tr>
      <w:tr>
        <w:trPr>
          <w:trHeight w:val="21"/>
        </w:trPr>
        <w:tc>
          <w:tcPr>
            <w:tcW w:w="7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392" w:right="35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First Quarter 2026 Results and Declares Dividend of $0.17 per Share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96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May 8, 2026</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Page 10</w:t>
            </w:r>
          </w:p>
        </w:tc>
      </w:tr>
      <w:tr>
        <w:trPr>
          <w:trHeight w:val="631"/>
        </w:trPr>
        <w:tc>
          <w:tcPr>
            <w:tcW w:w="8120" w:type="dxa"/>
            <w:vAlign w:val="bottom"/>
            <w:gridSpan w:val="7"/>
          </w:tcPr>
          <w:p>
            <w:pPr>
              <w:jc w:val="center"/>
              <w:ind w:left="3029"/>
              <w:spacing w:after="0"/>
              <w:rPr>
                <w:sz w:val="20"/>
                <w:szCs w:val="20"/>
                <w:color w:val="auto"/>
              </w:rPr>
            </w:pPr>
            <w:r>
              <w:rPr>
                <w:rFonts w:ascii="Times New Roman" w:cs="Times New Roman" w:eastAsia="Times New Roman" w:hAnsi="Times New Roman"/>
                <w:sz w:val="18"/>
                <w:szCs w:val="18"/>
                <w:b w:val="1"/>
                <w:bCs w:val="1"/>
                <w:color w:val="auto"/>
                <w:w w:val="99"/>
              </w:rPr>
              <w:t>ARBOR REALTY TRUST, INC. AND SUBSIDIARIES</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8120" w:type="dxa"/>
            <w:vAlign w:val="bottom"/>
            <w:gridSpan w:val="7"/>
          </w:tcPr>
          <w:p>
            <w:pPr>
              <w:jc w:val="center"/>
              <w:ind w:left="3049"/>
              <w:spacing w:after="0"/>
              <w:rPr>
                <w:sz w:val="20"/>
                <w:szCs w:val="20"/>
                <w:color w:val="auto"/>
              </w:rPr>
            </w:pPr>
            <w:r>
              <w:rPr>
                <w:rFonts w:ascii="Times New Roman" w:cs="Times New Roman" w:eastAsia="Times New Roman" w:hAnsi="Times New Roman"/>
                <w:sz w:val="18"/>
                <w:szCs w:val="18"/>
                <w:color w:val="auto"/>
              </w:rPr>
              <w:t>Statement of Income Segment Information - (Unaudited)</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 thousands)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06"/>
        </w:trPr>
        <w:tc>
          <w:tcPr>
            <w:tcW w:w="4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 March 31, 2026</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00"/>
        </w:trPr>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Structured</w:t>
            </w:r>
          </w:p>
        </w:tc>
        <w:tc>
          <w:tcPr>
            <w:tcW w:w="28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Agency</w:t>
            </w: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5"/>
        </w:trPr>
        <w:tc>
          <w:tcPr>
            <w:tcW w:w="49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235,047</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175,202</w:t>
            </w:r>
          </w:p>
        </w:tc>
      </w:tr>
      <w:tr>
        <w:trPr>
          <w:trHeight w:val="27"/>
        </w:trPr>
        <w:tc>
          <w:tcPr>
            <w:tcW w:w="4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interest income</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59,845</w:t>
            </w:r>
          </w:p>
        </w:tc>
      </w:tr>
      <w:tr>
        <w:trPr>
          <w:trHeight w:val="23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44,033</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1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(18,293)</w:t>
            </w: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1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37"/>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revenue</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47,263</w:t>
            </w: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57,546</w:t>
            </w:r>
          </w:p>
        </w:tc>
      </w:tr>
      <w:tr>
        <w:trPr>
          <w:trHeight w:val="27"/>
        </w:trPr>
        <w:tc>
          <w:tcPr>
            <w:tcW w:w="4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47,684</w:t>
            </w: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w:t>
            </w: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 on real estate owned</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r>
      <w:tr>
        <w:trPr>
          <w:trHeight w:val="27"/>
        </w:trPr>
        <w:tc>
          <w:tcPr>
            <w:tcW w:w="4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106,558</w:t>
            </w:r>
          </w:p>
        </w:tc>
      </w:tr>
      <w:tr>
        <w:trPr>
          <w:trHeight w:val="205"/>
        </w:trPr>
        <w:tc>
          <w:tcPr>
            <w:tcW w:w="49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before loss on real estate, income from equity affiliates and</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w:t>
            </w: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3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w:t>
            </w:r>
          </w:p>
        </w:tc>
      </w:tr>
      <w:tr>
        <w:trPr>
          <w:trHeight w:val="27"/>
        </w:trPr>
        <w:tc>
          <w:tcPr>
            <w:tcW w:w="4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4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income allocated to the noncontrolling interest holders not allocated to the two reportable segments.</w:t>
      </w:r>
    </w:p>
    <w:p>
      <w:pPr>
        <w:sectPr>
          <w:pgSz w:w="11900" w:h="16838" w:orient="portrait"/>
          <w:cols w:equalWidth="0" w:num="1">
            <w:col w:w="11240"/>
          </w:cols>
          <w:pgMar w:left="320" w:top="392"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First Quarter 2026 Results and Declares Dividend of $0.17 per Share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26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May 8, 2026</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Page 11</w:t>
            </w:r>
          </w:p>
        </w:tc>
      </w:tr>
      <w:tr>
        <w:trPr>
          <w:trHeight w:val="631"/>
        </w:trPr>
        <w:tc>
          <w:tcPr>
            <w:tcW w:w="3260" w:type="dxa"/>
            <w:vAlign w:val="bottom"/>
          </w:tcPr>
          <w:p>
            <w:pPr>
              <w:spacing w:after="0"/>
              <w:rPr>
                <w:sz w:val="24"/>
                <w:szCs w:val="24"/>
                <w:color w:val="auto"/>
              </w:rPr>
            </w:pPr>
          </w:p>
        </w:tc>
        <w:tc>
          <w:tcPr>
            <w:tcW w:w="47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ARBOR REALTY TRUST, INC. AND SUBSIDIARIES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3260" w:type="dxa"/>
            <w:vAlign w:val="bottom"/>
          </w:tcPr>
          <w:p>
            <w:pPr>
              <w:spacing w:after="0"/>
              <w:rPr>
                <w:sz w:val="18"/>
                <w:szCs w:val="18"/>
                <w:color w:val="auto"/>
              </w:rPr>
            </w:pPr>
          </w:p>
        </w:tc>
        <w:tc>
          <w:tcPr>
            <w:tcW w:w="47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Balance Sheet Segment Information - (Unaudited)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3260" w:type="dxa"/>
            <w:vAlign w:val="bottom"/>
          </w:tcPr>
          <w:p>
            <w:pPr>
              <w:spacing w:after="0"/>
              <w:rPr>
                <w:sz w:val="20"/>
                <w:szCs w:val="20"/>
                <w:color w:val="auto"/>
              </w:rPr>
            </w:pPr>
          </w:p>
        </w:tc>
        <w:tc>
          <w:tcPr>
            <w:tcW w:w="316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color w:val="auto"/>
                <w:w w:val="99"/>
              </w:rPr>
              <w:t>(in thousands)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06"/>
        </w:trPr>
        <w:tc>
          <w:tcPr>
            <w:tcW w:w="32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20"/>
        </w:trPr>
        <w:tc>
          <w:tcPr>
            <w:tcW w:w="32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Structured Business</w:t>
            </w:r>
          </w:p>
        </w:tc>
        <w:tc>
          <w:tcPr>
            <w:tcW w:w="18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Agency Business</w:t>
            </w:r>
          </w:p>
        </w:tc>
        <w:tc>
          <w:tcPr>
            <w:tcW w:w="260" w:type="dxa"/>
            <w:vAlign w:val="bottom"/>
          </w:tcPr>
          <w:p>
            <w:pPr>
              <w:spacing w:after="0"/>
              <w:rPr>
                <w:sz w:val="19"/>
                <w:szCs w:val="19"/>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3260" w:type="dxa"/>
            <w:vAlign w:val="bottom"/>
            <w:tcBorders>
              <w:bottom w:val="single" w:sz="8" w:color="CCEEFF"/>
            </w:tcBorders>
          </w:tcPr>
          <w:p>
            <w:pPr>
              <w:spacing w:after="0"/>
              <w:rPr>
                <w:sz w:val="3"/>
                <w:szCs w:val="3"/>
                <w:color w:val="auto"/>
              </w:rPr>
            </w:pPr>
          </w:p>
        </w:tc>
        <w:tc>
          <w:tcPr>
            <w:tcW w:w="30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317,841</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407,126</w:t>
            </w:r>
          </w:p>
        </w:tc>
      </w:tr>
      <w:tr>
        <w:trPr>
          <w:trHeight w:val="27"/>
        </w:trPr>
        <w:tc>
          <w:tcPr>
            <w:tcW w:w="32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393,529</w:t>
            </w: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3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11,835,381</w:t>
            </w:r>
          </w:p>
        </w:tc>
      </w:tr>
      <w:tr>
        <w:trPr>
          <w:trHeight w:val="27"/>
        </w:trPr>
        <w:tc>
          <w:tcPr>
            <w:tcW w:w="32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3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443,218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443,218</w:t>
            </w: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3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331,929</w:t>
            </w:r>
          </w:p>
        </w:tc>
      </w:tr>
      <w:tr>
        <w:trPr>
          <w:trHeight w:val="27"/>
        </w:trPr>
        <w:tc>
          <w:tcPr>
            <w:tcW w:w="32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3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155,469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155,469</w:t>
            </w: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3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56,747</w:t>
            </w:r>
          </w:p>
        </w:tc>
      </w:tr>
      <w:tr>
        <w:trPr>
          <w:trHeight w:val="27"/>
        </w:trPr>
        <w:tc>
          <w:tcPr>
            <w:tcW w:w="32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owned, net</w:t>
            </w:r>
          </w:p>
        </w:tc>
        <w:tc>
          <w:tcPr>
            <w:tcW w:w="3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520,766</w:t>
            </w: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3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86,161</w:t>
            </w:r>
          </w:p>
        </w:tc>
      </w:tr>
      <w:tr>
        <w:trPr>
          <w:trHeight w:val="27"/>
        </w:trPr>
        <w:tc>
          <w:tcPr>
            <w:tcW w:w="32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due from related party</w:t>
            </w:r>
          </w:p>
        </w:tc>
        <w:tc>
          <w:tcPr>
            <w:tcW w:w="30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74,550</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462,159</w:t>
            </w:r>
          </w:p>
        </w:tc>
      </w:tr>
      <w:tr>
        <w:trPr>
          <w:trHeight w:val="263"/>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0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13,261,857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1,430,628</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14,692,485</w:t>
            </w: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26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2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3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424,865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11,329,263</w:t>
            </w: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loss-sharing obligations</w:t>
            </w:r>
          </w:p>
        </w:tc>
        <w:tc>
          <w:tcPr>
            <w:tcW w:w="3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106,773</w:t>
            </w:r>
          </w:p>
        </w:tc>
      </w:tr>
      <w:tr>
        <w:trPr>
          <w:trHeight w:val="27"/>
        </w:trPr>
        <w:tc>
          <w:tcPr>
            <w:tcW w:w="32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and due to related parties</w:t>
            </w:r>
          </w:p>
        </w:tc>
        <w:tc>
          <w:tcPr>
            <w:tcW w:w="30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64,777</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277,399</w:t>
            </w:r>
          </w:p>
        </w:tc>
      </w:tr>
      <w:tr>
        <w:trPr>
          <w:trHeight w:val="264"/>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0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11,117,020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596,415</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11,713,435</w:t>
            </w:r>
          </w:p>
        </w:tc>
      </w:tr>
      <w:tr>
        <w:trPr>
          <w:trHeight w:val="20"/>
        </w:trPr>
        <w:tc>
          <w:tcPr>
            <w:tcW w:w="3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92"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First Quarter 2026 Results and Declares Dividend of $0.17 per Share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180" w:type="dxa"/>
            <w:vAlign w:val="bottom"/>
          </w:tcPr>
          <w:p>
            <w:pPr>
              <w:ind w:left="20"/>
              <w:spacing w:after="0"/>
              <w:rPr>
                <w:sz w:val="20"/>
                <w:szCs w:val="20"/>
                <w:color w:val="auto"/>
              </w:rPr>
            </w:pPr>
            <w:r>
              <w:rPr>
                <w:rFonts w:ascii="Times New Roman" w:cs="Times New Roman" w:eastAsia="Times New Roman" w:hAnsi="Times New Roman"/>
                <w:sz w:val="22"/>
                <w:szCs w:val="22"/>
                <w:i w:val="1"/>
                <w:iCs w:val="1"/>
                <w:color w:val="auto"/>
              </w:rPr>
              <w:t>May 8, 2026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Page 12</w:t>
            </w:r>
          </w:p>
        </w:tc>
      </w:tr>
      <w:tr>
        <w:trPr>
          <w:trHeight w:val="609"/>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6"/>
                <w:szCs w:val="16"/>
                <w:b w:val="1"/>
                <w:bCs w:val="1"/>
                <w:color w:val="auto"/>
              </w:rPr>
              <w:t>ARBOR REALTY TRUST,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6"/>
                <w:szCs w:val="16"/>
                <w:color w:val="auto"/>
              </w:rPr>
              <w:t>Reconciliation of Distributable Earnings to GAAP Net Income - (Unaudited)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8180" w:type="dxa"/>
            <w:vAlign w:val="bottom"/>
          </w:tcPr>
          <w:p>
            <w:pPr>
              <w:jc w:val="center"/>
              <w:ind w:left="2990"/>
              <w:spacing w:after="0"/>
              <w:rPr>
                <w:sz w:val="20"/>
                <w:szCs w:val="20"/>
                <w:color w:val="auto"/>
              </w:rPr>
            </w:pPr>
            <w:r>
              <w:rPr>
                <w:rFonts w:ascii="Times New Roman" w:cs="Times New Roman" w:eastAsia="Times New Roman" w:hAnsi="Times New Roman"/>
                <w:sz w:val="16"/>
                <w:szCs w:val="16"/>
                <w:color w:val="auto"/>
              </w:rPr>
              <w:t>($ in thousands—except share and per share data)</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72"/>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529"/>
              <w:spacing w:after="0"/>
              <w:rPr>
                <w:sz w:val="20"/>
                <w:szCs w:val="20"/>
                <w:color w:val="auto"/>
              </w:rPr>
            </w:pPr>
            <w:r>
              <w:rPr>
                <w:rFonts w:ascii="Times New Roman" w:cs="Times New Roman" w:eastAsia="Times New Roman" w:hAnsi="Times New Roman"/>
                <w:sz w:val="16"/>
                <w:szCs w:val="16"/>
                <w:b w:val="1"/>
                <w:bCs w:val="1"/>
                <w:color w:val="auto"/>
              </w:rPr>
              <w:t>Quarter Ended March 31,</w:t>
            </w:r>
          </w:p>
        </w:tc>
      </w:tr>
      <w:tr>
        <w:trPr>
          <w:trHeight w:val="237"/>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mortgage servicing rights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benefit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and write-offs of MSRs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derivative instruments,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Distributable earnings (1)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distributable earnings per share (1)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 (1) (2)</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211,735,731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206,862,320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60" w:hanging="252"/>
        <w:spacing w:after="0" w:line="282" w:lineRule="auto"/>
        <w:tabs>
          <w:tab w:leader="none" w:pos="2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attributable to common stockholders and OP Unit holders. The OP Units are redeemable for cash, or at the Company's option for shares of the Company's common stock on a one-for-one basis.</w:t>
      </w:r>
    </w:p>
    <w:p>
      <w:pPr>
        <w:spacing w:after="0" w:line="161"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quarter ended March 31, 2025, the diluted weighted average shares outstanding exclude the potential shares issuable upon conversion and settlement of the Company's convertible senior notes principal balance.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presenting distributable earnings because management believes it is an important supplemental measure of the Company's operating performance and is useful to investors, analysts and other parties in the evaluation of REITs and their ability to provide dividends to stockholders. Dividends are one of the principal reasons investors invest in REITs. To maintain REIT status, REITs are required to distribute at least 90% of their REIT-taxable income. The Company considers distributable earnings in determining its quarterly dividend and believes that, over time, distributable earnings is a useful indicator of the Company's dividends per share.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defines distributable earnings as net income (loss) attributable to common stockholders computed in accordance with GAAP, adjusted for accounting items such as depreciation and amortization (adjusted for unconsolidated joint ventures), non-cash stock-based compensation expense, income from MSRs, amortization and write-offs of MSRs, gains/losses on derivative instruments primarily associated with Private Label loans not yet sold and securitized, changes in fair value of GSE-related derivatives that temporarily flow through earnings, deferred tax provision (benefit), CECL provisions for credit losses (adjusted for realized losses as described below) and gains/losses on the receipt of real estate from the settlement of loans (prior to the sale of the real estate). The Company also adds back one-time charges such as acquisition costs and one-time gains/losses on the early extinguishment of debt and redemption of preferred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reduces distributable earnings for realized losses in the period management determines that a loan is deemed nonrecoverable in whole or in part. Loans are deemed nonrecoverable upon the earlier of: (1) when the loan receivable is settled (i.e., when the loan is repaid, or in the case of foreclosure, when the underlying asset is sold); or (2) when</w:t>
      </w:r>
    </w:p>
    <w:p>
      <w:pPr>
        <w:sectPr>
          <w:pgSz w:w="11900" w:h="16838" w:orient="portrait"/>
          <w:cols w:equalWidth="0" w:num="1">
            <w:col w:w="11240"/>
          </w:cols>
          <w:pgMar w:left="320" w:top="392"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22"/>
          <w:szCs w:val="22"/>
          <w:i w:val="1"/>
          <w:iCs w:val="1"/>
          <w:color w:val="auto"/>
        </w:rPr>
        <w:t>Arbor Realty Trust Reports First Quarter 2026 Results and Declares Dividend of $0.17 per Share</w:t>
      </w:r>
    </w:p>
    <w:p>
      <w:pPr>
        <w:spacing w:after="0" w:line="368" w:lineRule="exact"/>
        <w:rPr>
          <w:sz w:val="20"/>
          <w:szCs w:val="20"/>
          <w:color w:val="auto"/>
        </w:rPr>
      </w:pPr>
    </w:p>
    <w:p>
      <w:pPr>
        <w:ind w:left="20"/>
        <w:spacing w:after="0"/>
        <w:tabs>
          <w:tab w:leader="none" w:pos="10480" w:val="left"/>
        </w:tabs>
        <w:rPr>
          <w:sz w:val="20"/>
          <w:szCs w:val="20"/>
          <w:color w:val="auto"/>
        </w:rPr>
      </w:pPr>
      <w:r>
        <w:rPr>
          <w:rFonts w:ascii="Times New Roman" w:cs="Times New Roman" w:eastAsia="Times New Roman" w:hAnsi="Times New Roman"/>
          <w:sz w:val="22"/>
          <w:szCs w:val="22"/>
          <w:i w:val="1"/>
          <w:iCs w:val="1"/>
          <w:color w:val="auto"/>
        </w:rPr>
        <w:t>May 8, 2026</w:t>
      </w:r>
      <w:r>
        <w:rPr>
          <w:sz w:val="20"/>
          <w:szCs w:val="20"/>
          <w:color w:val="auto"/>
        </w:rPr>
        <w:tab/>
      </w:r>
      <w:r>
        <w:rPr>
          <w:rFonts w:ascii="Times New Roman" w:cs="Times New Roman" w:eastAsia="Times New Roman" w:hAnsi="Times New Roman"/>
          <w:sz w:val="21"/>
          <w:szCs w:val="21"/>
          <w:i w:val="1"/>
          <w:iCs w:val="1"/>
          <w:color w:val="auto"/>
        </w:rPr>
        <w:t>Page 13</w:t>
      </w:r>
    </w:p>
    <w:p>
      <w:pPr>
        <w:spacing w:after="0" w:line="200" w:lineRule="exact"/>
        <w:rPr>
          <w:sz w:val="20"/>
          <w:szCs w:val="20"/>
          <w:color w:val="auto"/>
        </w:rPr>
      </w:pPr>
    </w:p>
    <w:p>
      <w:pPr>
        <w:spacing w:after="0" w:line="2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determines that it is nearly certain that all amounts due will not be collected. The realized loss amount is equal to the difference between the cash received, or expected to be received, and the book value of the asset.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Distributable earnings is not intended to be an indication of the Company's cash flows from operating activities (determined in accordance with GAAP) or a measure of its liquidity, nor is it entirely indicative of funding the Company's cash needs, including its ability to make cash distributions. The Company's calculation of distributable earnings may be different from the calculations used by other companies and, therefore, comparability may be limited.</w:t>
      </w:r>
    </w:p>
    <w:sectPr>
      <w:pgSz w:w="11900" w:h="16838" w:orient="portrait"/>
      <w:cols w:equalWidth="0" w:num="1">
        <w:col w:w="11240"/>
      </w:cols>
      <w:pgMar w:left="320" w:top="3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2026-05-08T07:47:03Z</dcterms:created>
  <dcterms:modified xsi:type="dcterms:W3CDTF">2026-05-08T07:47:03Z</dcterms:modified>
</cp:coreProperties>
</file>