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Issuer Free Writing Prospectus</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333-242377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October 4, 2021 to Prospectus Dated August 7, 2020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Arbor Realty Trust,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6.25% Series F Fixed-to-Floating Rate Cumulative Redeemable Preferred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(Liquidation Preference $25.00 Per Share)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380" w:type="dxa"/>
            <w:vAlign w:val="bottom"/>
          </w:tcPr>
          <w:p>
            <w:pPr>
              <w:ind w:left="300"/>
              <w:spacing w:after="0"/>
              <w:rPr>
                <w:sz w:val="20"/>
                <w:szCs w:val="20"/>
                <w:color w:val="auto"/>
              </w:rPr>
            </w:pPr>
            <w:r>
              <w:rPr>
                <w:rFonts w:ascii="Arial" w:cs="Arial" w:eastAsia="Arial" w:hAnsi="Arial"/>
                <w:sz w:val="18"/>
                <w:szCs w:val="18"/>
                <w:color w:val="auto"/>
              </w:rPr>
              <w:t>Arbor Realty Trust, Inc.</w:t>
            </w:r>
          </w:p>
        </w:tc>
      </w:tr>
      <w:tr>
        <w:trPr>
          <w:trHeight w:val="323"/>
        </w:trPr>
        <w:tc>
          <w:tcPr>
            <w:tcW w:w="286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8380" w:type="dxa"/>
            <w:vAlign w:val="bottom"/>
          </w:tcPr>
          <w:p>
            <w:pPr>
              <w:ind w:left="300"/>
              <w:spacing w:after="0"/>
              <w:rPr>
                <w:sz w:val="20"/>
                <w:szCs w:val="20"/>
                <w:color w:val="auto"/>
              </w:rPr>
            </w:pPr>
            <w:r>
              <w:rPr>
                <w:rFonts w:ascii="Arial" w:cs="Arial" w:eastAsia="Arial" w:hAnsi="Arial"/>
                <w:sz w:val="18"/>
                <w:szCs w:val="18"/>
                <w:color w:val="auto"/>
                <w:w w:val="96"/>
              </w:rPr>
              <w:t>6.25% Series F Fixed-to-Floating Rate Cumulative Redeemable Preferred Stock (the “Series F Preferred</w:t>
            </w:r>
          </w:p>
        </w:tc>
      </w:tr>
      <w:tr>
        <w:trPr>
          <w:trHeight w:val="230"/>
        </w:trPr>
        <w:tc>
          <w:tcPr>
            <w:tcW w:w="2860" w:type="dxa"/>
            <w:vAlign w:val="bottom"/>
          </w:tcPr>
          <w:p>
            <w:pPr>
              <w:spacing w:after="0"/>
              <w:rPr>
                <w:sz w:val="20"/>
                <w:szCs w:val="20"/>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rPr>
              <w:t>Stock”)</w:t>
            </w: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Shares Offered:</w:t>
            </w:r>
          </w:p>
        </w:tc>
        <w:tc>
          <w:tcPr>
            <w:tcW w:w="8380" w:type="dxa"/>
            <w:vAlign w:val="bottom"/>
          </w:tcPr>
          <w:p>
            <w:pPr>
              <w:ind w:left="300"/>
              <w:spacing w:after="0"/>
              <w:rPr>
                <w:sz w:val="20"/>
                <w:szCs w:val="20"/>
                <w:color w:val="auto"/>
              </w:rPr>
            </w:pPr>
            <w:r>
              <w:rPr>
                <w:rFonts w:ascii="Arial" w:cs="Arial" w:eastAsia="Arial" w:hAnsi="Arial"/>
                <w:sz w:val="18"/>
                <w:szCs w:val="18"/>
                <w:color w:val="auto"/>
              </w:rPr>
              <w:t>7,000,000 shares</w:t>
            </w: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8380" w:type="dxa"/>
            <w:vAlign w:val="bottom"/>
          </w:tcPr>
          <w:p>
            <w:pPr>
              <w:ind w:left="300"/>
              <w:spacing w:after="0"/>
              <w:rPr>
                <w:sz w:val="20"/>
                <w:szCs w:val="20"/>
                <w:color w:val="auto"/>
              </w:rPr>
            </w:pPr>
            <w:r>
              <w:rPr>
                <w:rFonts w:ascii="Arial" w:cs="Arial" w:eastAsia="Arial" w:hAnsi="Arial"/>
                <w:sz w:val="18"/>
                <w:szCs w:val="18"/>
                <w:color w:val="auto"/>
              </w:rPr>
              <w:t>1,050,000 shares</w:t>
            </w: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8380" w:type="dxa"/>
            <w:vAlign w:val="bottom"/>
          </w:tcPr>
          <w:p>
            <w:pPr>
              <w:ind w:left="300"/>
              <w:spacing w:after="0"/>
              <w:rPr>
                <w:sz w:val="20"/>
                <w:szCs w:val="20"/>
                <w:color w:val="auto"/>
              </w:rPr>
            </w:pPr>
            <w:r>
              <w:rPr>
                <w:rFonts w:ascii="Arial" w:cs="Arial" w:eastAsia="Arial" w:hAnsi="Arial"/>
                <w:sz w:val="18"/>
                <w:szCs w:val="18"/>
                <w:color w:val="auto"/>
              </w:rPr>
              <w:t>October 4, 2021</w:t>
            </w: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Settlement and Delivery Date:</w:t>
            </w:r>
          </w:p>
        </w:tc>
        <w:tc>
          <w:tcPr>
            <w:tcW w:w="8380" w:type="dxa"/>
            <w:vAlign w:val="bottom"/>
          </w:tcPr>
          <w:p>
            <w:pPr>
              <w:ind w:left="300"/>
              <w:spacing w:after="0"/>
              <w:rPr>
                <w:sz w:val="20"/>
                <w:szCs w:val="20"/>
                <w:color w:val="auto"/>
              </w:rPr>
            </w:pPr>
            <w:r>
              <w:rPr>
                <w:rFonts w:ascii="Arial" w:cs="Arial" w:eastAsia="Arial" w:hAnsi="Arial"/>
                <w:sz w:val="18"/>
                <w:szCs w:val="18"/>
                <w:color w:val="auto"/>
              </w:rPr>
              <w:t xml:space="preserve">October 12, 2021 </w:t>
            </w:r>
            <w:r>
              <w:rPr>
                <w:rFonts w:ascii="Arial" w:cs="Arial" w:eastAsia="Arial" w:hAnsi="Arial"/>
                <w:sz w:val="18"/>
                <w:szCs w:val="18"/>
                <w:b w:val="1"/>
                <w:bCs w:val="1"/>
                <w:color w:val="auto"/>
              </w:rPr>
              <w:t>(T+5)</w:t>
            </w:r>
          </w:p>
        </w:tc>
      </w:tr>
      <w:tr>
        <w:trPr>
          <w:trHeight w:val="323"/>
        </w:trPr>
        <w:tc>
          <w:tcPr>
            <w:tcW w:w="2860" w:type="dxa"/>
            <w:vAlign w:val="bottom"/>
          </w:tcPr>
          <w:p>
            <w:pPr>
              <w:spacing w:after="0"/>
              <w:rPr>
                <w:sz w:val="20"/>
                <w:szCs w:val="20"/>
                <w:color w:val="auto"/>
              </w:rPr>
            </w:pPr>
            <w:r>
              <w:rPr>
                <w:rFonts w:ascii="Arial" w:cs="Arial" w:eastAsia="Arial" w:hAnsi="Arial"/>
                <w:sz w:val="18"/>
                <w:szCs w:val="18"/>
                <w:b w:val="1"/>
                <w:bCs w:val="1"/>
                <w:color w:val="auto"/>
              </w:rPr>
              <w:t>Public Offering Price:</w:t>
            </w:r>
          </w:p>
        </w:tc>
        <w:tc>
          <w:tcPr>
            <w:tcW w:w="8380" w:type="dxa"/>
            <w:vAlign w:val="bottom"/>
          </w:tcPr>
          <w:p>
            <w:pPr>
              <w:ind w:left="300"/>
              <w:spacing w:after="0"/>
              <w:rPr>
                <w:sz w:val="20"/>
                <w:szCs w:val="20"/>
                <w:color w:val="auto"/>
              </w:rPr>
            </w:pPr>
            <w:r>
              <w:rPr>
                <w:rFonts w:ascii="Arial" w:cs="Arial" w:eastAsia="Arial" w:hAnsi="Arial"/>
                <w:sz w:val="18"/>
                <w:szCs w:val="18"/>
                <w:color w:val="auto"/>
                <w:w w:val="91"/>
              </w:rPr>
              <w:t>$25.00 liquidation preference per share; $175,000,000 in aggregate liquidation preference (assuming the over-</w:t>
            </w:r>
          </w:p>
        </w:tc>
      </w:tr>
      <w:tr>
        <w:trPr>
          <w:trHeight w:val="230"/>
        </w:trPr>
        <w:tc>
          <w:tcPr>
            <w:tcW w:w="2860" w:type="dxa"/>
            <w:vAlign w:val="bottom"/>
          </w:tcPr>
          <w:p>
            <w:pPr>
              <w:spacing w:after="0"/>
              <w:rPr>
                <w:sz w:val="20"/>
                <w:szCs w:val="20"/>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rPr>
              <w:t>allotment option is not exercised)</w:t>
            </w: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8380" w:type="dxa"/>
            <w:vAlign w:val="bottom"/>
          </w:tcPr>
          <w:p>
            <w:pPr>
              <w:ind w:left="300"/>
              <w:spacing w:after="0"/>
              <w:rPr>
                <w:sz w:val="20"/>
                <w:szCs w:val="20"/>
                <w:color w:val="auto"/>
              </w:rPr>
            </w:pPr>
            <w:r>
              <w:rPr>
                <w:rFonts w:ascii="Arial" w:cs="Arial" w:eastAsia="Arial" w:hAnsi="Arial"/>
                <w:sz w:val="18"/>
                <w:szCs w:val="18"/>
                <w:color w:val="auto"/>
              </w:rPr>
              <w:t>$0.7875 per share; $5,512,500 total (assuming the over-allotment option is not exercised)</w:t>
            </w:r>
          </w:p>
        </w:tc>
      </w:tr>
      <w:tr>
        <w:trPr>
          <w:trHeight w:val="319"/>
        </w:trPr>
        <w:tc>
          <w:tcPr>
            <w:tcW w:w="2860" w:type="dxa"/>
            <w:vAlign w:val="bottom"/>
          </w:tcPr>
          <w:p>
            <w:pPr>
              <w:spacing w:after="0"/>
              <w:rPr>
                <w:sz w:val="20"/>
                <w:szCs w:val="20"/>
                <w:color w:val="auto"/>
              </w:rPr>
            </w:pPr>
            <w:r>
              <w:rPr>
                <w:rFonts w:ascii="Arial" w:cs="Arial" w:eastAsia="Arial" w:hAnsi="Arial"/>
                <w:sz w:val="18"/>
                <w:szCs w:val="18"/>
                <w:b w:val="1"/>
                <w:bCs w:val="1"/>
                <w:color w:val="auto"/>
                <w:w w:val="97"/>
              </w:rPr>
              <w:t>Net Proceeds to the Issuer, before</w:t>
            </w:r>
          </w:p>
        </w:tc>
        <w:tc>
          <w:tcPr>
            <w:tcW w:w="8380" w:type="dxa"/>
            <w:vAlign w:val="bottom"/>
          </w:tcPr>
          <w:p>
            <w:pPr>
              <w:ind w:left="300"/>
              <w:spacing w:after="0"/>
              <w:rPr>
                <w:sz w:val="20"/>
                <w:szCs w:val="20"/>
                <w:color w:val="auto"/>
              </w:rPr>
            </w:pPr>
            <w:r>
              <w:rPr>
                <w:rFonts w:ascii="Arial" w:cs="Arial" w:eastAsia="Arial" w:hAnsi="Arial"/>
                <w:sz w:val="18"/>
                <w:szCs w:val="18"/>
                <w:color w:val="auto"/>
              </w:rPr>
              <w:t>$24.2125 per share; $169,487,500 total (assuming the over-allotment option is not exercised)</w:t>
            </w:r>
          </w:p>
        </w:tc>
      </w:t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380" w:type="dxa"/>
            <w:vAlign w:val="bottom"/>
          </w:tcPr>
          <w:p>
            <w:pPr>
              <w:spacing w:after="0"/>
              <w:rPr>
                <w:sz w:val="20"/>
                <w:szCs w:val="20"/>
                <w:color w:val="auto"/>
              </w:rPr>
            </w:pPr>
          </w:p>
        </w:tc>
      </w:tr>
      <w:tr>
        <w:trPr>
          <w:trHeight w:val="323"/>
        </w:trPr>
        <w:tc>
          <w:tcPr>
            <w:tcW w:w="2860" w:type="dxa"/>
            <w:vAlign w:val="bottom"/>
          </w:tcPr>
          <w:p>
            <w:pPr>
              <w:spacing w:after="0"/>
              <w:rPr>
                <w:sz w:val="20"/>
                <w:szCs w:val="20"/>
                <w:color w:val="auto"/>
              </w:rPr>
            </w:pPr>
            <w:r>
              <w:rPr>
                <w:rFonts w:ascii="Arial" w:cs="Arial" w:eastAsia="Arial" w:hAnsi="Arial"/>
                <w:sz w:val="18"/>
                <w:szCs w:val="18"/>
                <w:b w:val="1"/>
                <w:bCs w:val="1"/>
                <w:color w:val="auto"/>
              </w:rPr>
              <w:t>Dividend Rate:</w:t>
            </w:r>
          </w:p>
        </w:tc>
        <w:tc>
          <w:tcPr>
            <w:tcW w:w="8380" w:type="dxa"/>
            <w:vAlign w:val="bottom"/>
          </w:tcPr>
          <w:p>
            <w:pPr>
              <w:ind w:left="300"/>
              <w:spacing w:after="0"/>
              <w:rPr>
                <w:sz w:val="20"/>
                <w:szCs w:val="20"/>
                <w:color w:val="auto"/>
              </w:rPr>
            </w:pPr>
            <w:r>
              <w:rPr>
                <w:rFonts w:ascii="Arial" w:cs="Arial" w:eastAsia="Arial" w:hAnsi="Arial"/>
                <w:sz w:val="18"/>
                <w:szCs w:val="18"/>
                <w:color w:val="auto"/>
                <w:w w:val="92"/>
              </w:rPr>
              <w:t>(i) From and including the original issue date to, but excluding, October 30, 2026 (the “Fixed Rate Period”), at</w:t>
            </w:r>
          </w:p>
        </w:tc>
      </w:tr>
      <w:tr>
        <w:trPr>
          <w:trHeight w:val="216"/>
        </w:trPr>
        <w:tc>
          <w:tcPr>
            <w:tcW w:w="2860" w:type="dxa"/>
            <w:vAlign w:val="bottom"/>
          </w:tcPr>
          <w:p>
            <w:pPr>
              <w:spacing w:after="0"/>
              <w:rPr>
                <w:sz w:val="18"/>
                <w:szCs w:val="18"/>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w w:val="90"/>
              </w:rPr>
              <w:t>a fixed rate equal to 6.25% per annum of the $25.00 per share liquidation preference (equivalent to $1.5625 per</w:t>
            </w:r>
          </w:p>
        </w:tc>
      </w:tr>
      <w:tr>
        <w:trPr>
          <w:trHeight w:val="216"/>
        </w:trPr>
        <w:tc>
          <w:tcPr>
            <w:tcW w:w="2860" w:type="dxa"/>
            <w:vAlign w:val="bottom"/>
          </w:tcPr>
          <w:p>
            <w:pPr>
              <w:spacing w:after="0"/>
              <w:rPr>
                <w:sz w:val="18"/>
                <w:szCs w:val="18"/>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w w:val="93"/>
              </w:rPr>
              <w:t>annum per share) and (ii) from and including October 30, 2026 (the “Floating Rate Period”), at a floating rate</w:t>
            </w:r>
          </w:p>
        </w:tc>
      </w:tr>
      <w:tr>
        <w:trPr>
          <w:trHeight w:val="216"/>
        </w:trPr>
        <w:tc>
          <w:tcPr>
            <w:tcW w:w="2860" w:type="dxa"/>
            <w:vAlign w:val="bottom"/>
          </w:tcPr>
          <w:p>
            <w:pPr>
              <w:spacing w:after="0"/>
              <w:rPr>
                <w:sz w:val="18"/>
                <w:szCs w:val="18"/>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w w:val="90"/>
              </w:rPr>
              <w:t>equal to a Benchmark rate, which is expected to be the Three-Month Term SOFR (as defined in the Preliminary</w:t>
            </w:r>
          </w:p>
        </w:tc>
      </w:tr>
      <w:tr>
        <w:trPr>
          <w:trHeight w:val="216"/>
        </w:trPr>
        <w:tc>
          <w:tcPr>
            <w:tcW w:w="2860" w:type="dxa"/>
            <w:vAlign w:val="bottom"/>
          </w:tcPr>
          <w:p>
            <w:pPr>
              <w:spacing w:after="0"/>
              <w:rPr>
                <w:sz w:val="18"/>
                <w:szCs w:val="18"/>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w w:val="89"/>
              </w:rPr>
              <w:t>Prospectus Supplement), plus a spread of 5.442% per annum of the $25.00 per share liquidation preference (the</w:t>
            </w:r>
          </w:p>
        </w:tc>
      </w:tr>
      <w:tr>
        <w:trPr>
          <w:trHeight w:val="230"/>
        </w:trPr>
        <w:tc>
          <w:tcPr>
            <w:tcW w:w="2860" w:type="dxa"/>
            <w:vAlign w:val="bottom"/>
          </w:tcPr>
          <w:p>
            <w:pPr>
              <w:spacing w:after="0"/>
              <w:rPr>
                <w:sz w:val="20"/>
                <w:szCs w:val="20"/>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w w:val="92"/>
              </w:rPr>
              <w:t>“Floating Rate”); provided, however, that in no event shall the Floating Rate be lower than 6.125% per annum.</w:t>
            </w:r>
          </w:p>
        </w:tc>
      </w:tr>
      <w:tr>
        <w:trPr>
          <w:trHeight w:val="364"/>
        </w:trPr>
        <w:tc>
          <w:tcPr>
            <w:tcW w:w="2860" w:type="dxa"/>
            <w:vAlign w:val="bottom"/>
          </w:tcPr>
          <w:p>
            <w:pPr>
              <w:spacing w:after="0"/>
              <w:rPr>
                <w:sz w:val="20"/>
                <w:szCs w:val="20"/>
                <w:color w:val="auto"/>
              </w:rPr>
            </w:pPr>
            <w:r>
              <w:rPr>
                <w:rFonts w:ascii="Arial" w:cs="Arial" w:eastAsia="Arial" w:hAnsi="Arial"/>
                <w:sz w:val="18"/>
                <w:szCs w:val="18"/>
                <w:b w:val="1"/>
                <w:bCs w:val="1"/>
                <w:color w:val="auto"/>
              </w:rPr>
              <w:t>Dividend Payment Date:</w:t>
            </w:r>
          </w:p>
        </w:tc>
        <w:tc>
          <w:tcPr>
            <w:tcW w:w="8380" w:type="dxa"/>
            <w:vAlign w:val="bottom"/>
          </w:tcPr>
          <w:p>
            <w:pPr>
              <w:ind w:left="300"/>
              <w:spacing w:after="0"/>
              <w:rPr>
                <w:sz w:val="20"/>
                <w:szCs w:val="20"/>
                <w:color w:val="auto"/>
              </w:rPr>
            </w:pPr>
            <w:r>
              <w:rPr>
                <w:rFonts w:ascii="Arial" w:cs="Arial" w:eastAsia="Arial" w:hAnsi="Arial"/>
                <w:sz w:val="18"/>
                <w:szCs w:val="18"/>
                <w:color w:val="auto"/>
                <w:w w:val="90"/>
              </w:rPr>
              <w:t>The 30</w:t>
            </w:r>
            <w:r>
              <w:rPr>
                <w:rFonts w:ascii="Arial" w:cs="Arial" w:eastAsia="Arial" w:hAnsi="Arial"/>
                <w:sz w:val="29"/>
                <w:szCs w:val="29"/>
                <w:color w:val="auto"/>
                <w:w w:val="90"/>
                <w:vertAlign w:val="superscript"/>
              </w:rPr>
              <w:t>th</w:t>
            </w:r>
            <w:r>
              <w:rPr>
                <w:rFonts w:ascii="Arial" w:cs="Arial" w:eastAsia="Arial" w:hAnsi="Arial"/>
                <w:sz w:val="18"/>
                <w:szCs w:val="18"/>
                <w:color w:val="auto"/>
                <w:w w:val="90"/>
              </w:rPr>
              <w:t xml:space="preserve"> day of January, April, July and October of each year (provided that if any dividend payment date is not</w:t>
            </w:r>
          </w:p>
        </w:tc>
      </w:tr>
      <w:tr>
        <w:trPr>
          <w:trHeight w:val="216"/>
        </w:trPr>
        <w:tc>
          <w:tcPr>
            <w:tcW w:w="2860" w:type="dxa"/>
            <w:vAlign w:val="bottom"/>
          </w:tcPr>
          <w:p>
            <w:pPr>
              <w:spacing w:after="0"/>
              <w:rPr>
                <w:sz w:val="18"/>
                <w:szCs w:val="18"/>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w w:val="90"/>
              </w:rPr>
              <w:t>a business day, then the dividend which would otherwise have been payable on that dividend payment date may</w:t>
            </w:r>
          </w:p>
        </w:tc>
      </w:tr>
      <w:tr>
        <w:trPr>
          <w:trHeight w:val="230"/>
        </w:trPr>
        <w:tc>
          <w:tcPr>
            <w:tcW w:w="2860" w:type="dxa"/>
            <w:vAlign w:val="bottom"/>
          </w:tcPr>
          <w:p>
            <w:pPr>
              <w:spacing w:after="0"/>
              <w:rPr>
                <w:sz w:val="20"/>
                <w:szCs w:val="20"/>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rPr>
              <w:t>be paid on the next succeeding business day), commencing on January 30, 2022.</w:t>
            </w:r>
          </w:p>
        </w:tc>
      </w:tr>
      <w:tr>
        <w:trPr>
          <w:trHeight w:val="323"/>
        </w:trPr>
        <w:tc>
          <w:tcPr>
            <w:tcW w:w="2860" w:type="dxa"/>
            <w:vAlign w:val="bottom"/>
          </w:tcPr>
          <w:p>
            <w:pPr>
              <w:spacing w:after="0"/>
              <w:rPr>
                <w:sz w:val="20"/>
                <w:szCs w:val="20"/>
                <w:color w:val="auto"/>
              </w:rPr>
            </w:pPr>
            <w:r>
              <w:rPr>
                <w:rFonts w:ascii="Arial" w:cs="Arial" w:eastAsia="Arial" w:hAnsi="Arial"/>
                <w:sz w:val="18"/>
                <w:szCs w:val="18"/>
                <w:b w:val="1"/>
                <w:bCs w:val="1"/>
                <w:color w:val="auto"/>
              </w:rPr>
              <w:t>Dividend Record Date:</w:t>
            </w:r>
          </w:p>
        </w:tc>
        <w:tc>
          <w:tcPr>
            <w:tcW w:w="8380" w:type="dxa"/>
            <w:vAlign w:val="bottom"/>
          </w:tcPr>
          <w:p>
            <w:pPr>
              <w:ind w:left="300"/>
              <w:spacing w:after="0"/>
              <w:rPr>
                <w:sz w:val="20"/>
                <w:szCs w:val="20"/>
                <w:color w:val="auto"/>
              </w:rPr>
            </w:pPr>
            <w:r>
              <w:rPr>
                <w:rFonts w:ascii="Arial" w:cs="Arial" w:eastAsia="Arial" w:hAnsi="Arial"/>
                <w:sz w:val="18"/>
                <w:szCs w:val="18"/>
                <w:color w:val="auto"/>
                <w:w w:val="92"/>
              </w:rPr>
              <w:t>The 15th of the calendar month in which the applicable dividend payment date falls, whether or not a business</w:t>
            </w:r>
          </w:p>
        </w:tc>
      </w:tr>
      <w:tr>
        <w:trPr>
          <w:trHeight w:val="230"/>
        </w:trPr>
        <w:tc>
          <w:tcPr>
            <w:tcW w:w="2860" w:type="dxa"/>
            <w:vAlign w:val="bottom"/>
          </w:tcPr>
          <w:p>
            <w:pPr>
              <w:spacing w:after="0"/>
              <w:rPr>
                <w:sz w:val="20"/>
                <w:szCs w:val="20"/>
                <w:color w:val="auto"/>
              </w:rPr>
            </w:pPr>
          </w:p>
        </w:tc>
        <w:tc>
          <w:tcPr>
            <w:tcW w:w="8380" w:type="dxa"/>
            <w:vAlign w:val="bottom"/>
          </w:tcPr>
          <w:p>
            <w:pPr>
              <w:ind w:left="300"/>
              <w:spacing w:after="0"/>
              <w:rPr>
                <w:sz w:val="20"/>
                <w:szCs w:val="20"/>
                <w:color w:val="auto"/>
              </w:rPr>
            </w:pPr>
            <w:r>
              <w:rPr>
                <w:rFonts w:ascii="Arial" w:cs="Arial" w:eastAsia="Arial" w:hAnsi="Arial"/>
                <w:sz w:val="18"/>
                <w:szCs w:val="18"/>
                <w:color w:val="auto"/>
              </w:rPr>
              <w:t>day; the first dividend record date will be January 15, 2022.</w:t>
            </w:r>
          </w:p>
        </w:tc>
      </w:tr>
      <w:tr>
        <w:trPr>
          <w:trHeight w:val="338"/>
        </w:trPr>
        <w:tc>
          <w:tcPr>
            <w:tcW w:w="286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380" w:type="dxa"/>
            <w:vAlign w:val="bottom"/>
          </w:tcPr>
          <w:p>
            <w:pPr>
              <w:ind w:left="300"/>
              <w:spacing w:after="0"/>
              <w:rPr>
                <w:sz w:val="20"/>
                <w:szCs w:val="20"/>
                <w:color w:val="auto"/>
              </w:rPr>
            </w:pPr>
            <w:r>
              <w:rPr>
                <w:rFonts w:ascii="Arial" w:cs="Arial" w:eastAsia="Arial" w:hAnsi="Arial"/>
                <w:sz w:val="18"/>
                <w:szCs w:val="18"/>
                <w:color w:val="auto"/>
              </w:rPr>
              <w:t>$25.00 per share</w:t>
            </w:r>
          </w:p>
        </w:tc>
      </w:tr>
      <w:tr>
        <w:trPr>
          <w:trHeight w:val="823"/>
        </w:trPr>
        <w:tc>
          <w:tcPr>
            <w:tcW w:w="286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6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8040" w:type="dxa"/>
            <w:vAlign w:val="bottom"/>
            <w:gridSpan w:val="3"/>
          </w:tcPr>
          <w:p>
            <w:pPr>
              <w:spacing w:after="0"/>
              <w:rPr>
                <w:sz w:val="20"/>
                <w:szCs w:val="20"/>
                <w:color w:val="auto"/>
              </w:rPr>
            </w:pPr>
            <w:r>
              <w:rPr>
                <w:rFonts w:ascii="Arial" w:cs="Arial" w:eastAsia="Arial" w:hAnsi="Arial"/>
                <w:sz w:val="18"/>
                <w:szCs w:val="18"/>
                <w:color w:val="auto"/>
                <w:w w:val="96"/>
              </w:rPr>
              <w:t>Not redeemable prior to October 12, 2026, except under circumstances intended to preserve the Issuer’s</w:t>
            </w:r>
          </w:p>
        </w:tc>
      </w:tr>
      <w:tr>
        <w:trPr>
          <w:trHeight w:val="216"/>
        </w:trPr>
        <w:tc>
          <w:tcPr>
            <w:tcW w:w="316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0"/>
              </w:rPr>
              <w:t>qualification as a REIT for federal income tax purposes or as otherwise described in the Preliminary Prospectus</w:t>
            </w:r>
          </w:p>
        </w:tc>
      </w:tr>
      <w:tr>
        <w:trPr>
          <w:trHeight w:val="216"/>
        </w:trPr>
        <w:tc>
          <w:tcPr>
            <w:tcW w:w="316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0"/>
              </w:rPr>
              <w:t>Supplement. On and after October 12, 2026, the Issuer may, at its option, redeem the Series F Preferred Stock,</w:t>
            </w:r>
          </w:p>
        </w:tc>
      </w:tr>
      <w:tr>
        <w:trPr>
          <w:trHeight w:val="216"/>
        </w:trPr>
        <w:tc>
          <w:tcPr>
            <w:tcW w:w="316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2"/>
              </w:rPr>
              <w:t>in whole or in part, at any time or from time to time, for cash at a redemption price equal to $25.00 per share,</w:t>
            </w:r>
          </w:p>
        </w:tc>
      </w:tr>
      <w:tr>
        <w:trPr>
          <w:trHeight w:val="230"/>
        </w:trPr>
        <w:tc>
          <w:tcPr>
            <w:tcW w:w="3160" w:type="dxa"/>
            <w:vAlign w:val="bottom"/>
          </w:tcPr>
          <w:p>
            <w:pPr>
              <w:spacing w:after="0"/>
              <w:rPr>
                <w:sz w:val="20"/>
                <w:szCs w:val="20"/>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plus any accumulated and unpaid dividends to, but not including, the date fixed for redemption.</w:t>
            </w:r>
          </w:p>
        </w:tc>
      </w:tr>
      <w:tr>
        <w:trPr>
          <w:trHeight w:val="297"/>
        </w:trPr>
        <w:tc>
          <w:tcPr>
            <w:tcW w:w="3160" w:type="dxa"/>
            <w:vAlign w:val="bottom"/>
          </w:tcPr>
          <w:p>
            <w:pPr>
              <w:spacing w:after="0"/>
              <w:rPr>
                <w:sz w:val="20"/>
                <w:szCs w:val="20"/>
                <w:color w:val="auto"/>
              </w:rPr>
            </w:pPr>
            <w:r>
              <w:rPr>
                <w:rFonts w:ascii="Arial" w:cs="Arial" w:eastAsia="Arial" w:hAnsi="Arial"/>
                <w:sz w:val="18"/>
                <w:szCs w:val="18"/>
                <w:b w:val="1"/>
                <w:bCs w:val="1"/>
                <w:color w:val="auto"/>
              </w:rPr>
              <w:t>Conversion Rights:</w:t>
            </w:r>
          </w:p>
        </w:tc>
        <w:tc>
          <w:tcPr>
            <w:tcW w:w="8040" w:type="dxa"/>
            <w:vAlign w:val="bottom"/>
            <w:gridSpan w:val="3"/>
          </w:tcPr>
          <w:p>
            <w:pPr>
              <w:spacing w:after="0"/>
              <w:rPr>
                <w:sz w:val="20"/>
                <w:szCs w:val="20"/>
                <w:color w:val="auto"/>
              </w:rPr>
            </w:pPr>
            <w:r>
              <w:rPr>
                <w:rFonts w:ascii="Arial" w:cs="Arial" w:eastAsia="Arial" w:hAnsi="Arial"/>
                <w:sz w:val="18"/>
                <w:szCs w:val="18"/>
                <w:color w:val="auto"/>
              </w:rPr>
              <w:t>Share Cap: 2.655</w:t>
            </w:r>
          </w:p>
        </w:tc>
      </w:tr>
      <w:tr>
        <w:trPr>
          <w:trHeight w:val="20"/>
        </w:trPr>
        <w:tc>
          <w:tcPr>
            <w:tcW w:w="3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412"/>
        </w:trPr>
        <w:tc>
          <w:tcPr>
            <w:tcW w:w="316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89"/>
              </w:rPr>
              <w:t>Exchange Cap: Subject to certain adjustments, the aggregate number of shares of the Issuer’s common stock (or</w:t>
            </w:r>
          </w:p>
        </w:tc>
      </w:tr>
      <w:tr>
        <w:trPr>
          <w:trHeight w:val="20"/>
        </w:trPr>
        <w:tc>
          <w:tcPr>
            <w:tcW w:w="31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22"/>
        </w:trPr>
        <w:tc>
          <w:tcPr>
            <w:tcW w:w="3160" w:type="dxa"/>
            <w:vAlign w:val="bottom"/>
          </w:tcPr>
          <w:p>
            <w:pPr>
              <w:spacing w:after="0"/>
              <w:rPr>
                <w:sz w:val="19"/>
                <w:szCs w:val="19"/>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6"/>
              </w:rPr>
              <w:t>equivalent Alternative Conversion Consideration, as applicable) issuable or deliverable, as applicable, in</w:t>
            </w:r>
          </w:p>
        </w:tc>
      </w:tr>
      <w:tr>
        <w:trPr>
          <w:trHeight w:val="216"/>
        </w:trPr>
        <w:tc>
          <w:tcPr>
            <w:tcW w:w="316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0"/>
              </w:rPr>
              <w:t>connection with the exercise of a Change of Control Conversion Right will not exceed 18,585,000 shares of the</w:t>
            </w:r>
          </w:p>
        </w:tc>
      </w:tr>
      <w:tr>
        <w:trPr>
          <w:trHeight w:val="216"/>
        </w:trPr>
        <w:tc>
          <w:tcPr>
            <w:tcW w:w="316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9"/>
              </w:rPr>
              <w:t>Issuer’s common stock (or equivalent Alternative Conversion Consideration, as applicable), subject to</w:t>
            </w:r>
          </w:p>
        </w:tc>
      </w:tr>
      <w:tr>
        <w:trPr>
          <w:trHeight w:val="216"/>
        </w:trPr>
        <w:tc>
          <w:tcPr>
            <w:tcW w:w="316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3"/>
              </w:rPr>
              <w:t>proportionate increase to the extent the underwriters’ over-allotment option to purchase additional shares of</w:t>
            </w:r>
          </w:p>
        </w:tc>
      </w:tr>
      <w:tr>
        <w:trPr>
          <w:trHeight w:val="216"/>
        </w:trPr>
        <w:tc>
          <w:tcPr>
            <w:tcW w:w="316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89"/>
              </w:rPr>
              <w:t>Series F Preferred Stock is exercised, not to exceed 21,372,750 shares of the Issuer’s common stock in total (or</w:t>
            </w:r>
          </w:p>
        </w:tc>
      </w:tr>
      <w:tr>
        <w:trPr>
          <w:trHeight w:val="230"/>
        </w:trPr>
        <w:tc>
          <w:tcPr>
            <w:tcW w:w="3160" w:type="dxa"/>
            <w:vAlign w:val="bottom"/>
          </w:tcPr>
          <w:p>
            <w:pPr>
              <w:spacing w:after="0"/>
              <w:rPr>
                <w:sz w:val="20"/>
                <w:szCs w:val="20"/>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equivalent Alternative Conversion Consideration, as applicable).</w:t>
            </w:r>
          </w:p>
        </w:tc>
      </w:tr>
      <w:tr>
        <w:trPr>
          <w:trHeight w:val="338"/>
        </w:trPr>
        <w:tc>
          <w:tcPr>
            <w:tcW w:w="3160" w:type="dxa"/>
            <w:vAlign w:val="bottom"/>
          </w:tcPr>
          <w:p>
            <w:pPr>
              <w:spacing w:after="0"/>
              <w:rPr>
                <w:sz w:val="20"/>
                <w:szCs w:val="20"/>
                <w:color w:val="auto"/>
              </w:rPr>
            </w:pPr>
            <w:r>
              <w:rPr>
                <w:rFonts w:ascii="Arial" w:cs="Arial" w:eastAsia="Arial" w:hAnsi="Arial"/>
                <w:sz w:val="18"/>
                <w:szCs w:val="18"/>
                <w:b w:val="1"/>
                <w:bCs w:val="1"/>
                <w:color w:val="auto"/>
              </w:rPr>
              <w:t>Proposed NYSE Listing Symbol:</w:t>
            </w:r>
          </w:p>
        </w:tc>
        <w:tc>
          <w:tcPr>
            <w:tcW w:w="8040" w:type="dxa"/>
            <w:vAlign w:val="bottom"/>
            <w:gridSpan w:val="3"/>
          </w:tcPr>
          <w:p>
            <w:pPr>
              <w:spacing w:after="0"/>
              <w:rPr>
                <w:sz w:val="20"/>
                <w:szCs w:val="20"/>
                <w:color w:val="auto"/>
              </w:rPr>
            </w:pPr>
            <w:r>
              <w:rPr>
                <w:rFonts w:ascii="Arial" w:cs="Arial" w:eastAsia="Arial" w:hAnsi="Arial"/>
                <w:sz w:val="18"/>
                <w:szCs w:val="18"/>
                <w:color w:val="auto"/>
              </w:rPr>
              <w:t>ABR PrF</w:t>
            </w:r>
          </w:p>
        </w:tc>
      </w:tr>
      <w:tr>
        <w:trPr>
          <w:trHeight w:val="338"/>
        </w:trPr>
        <w:tc>
          <w:tcPr>
            <w:tcW w:w="3160" w:type="dxa"/>
            <w:vAlign w:val="bottom"/>
          </w:tcPr>
          <w:p>
            <w:pPr>
              <w:spacing w:after="0"/>
              <w:rPr>
                <w:sz w:val="20"/>
                <w:szCs w:val="20"/>
                <w:color w:val="auto"/>
              </w:rPr>
            </w:pPr>
            <w:r>
              <w:rPr>
                <w:rFonts w:ascii="Arial" w:cs="Arial" w:eastAsia="Arial" w:hAnsi="Arial"/>
                <w:sz w:val="18"/>
                <w:szCs w:val="18"/>
                <w:b w:val="1"/>
                <w:bCs w:val="1"/>
                <w:color w:val="auto"/>
              </w:rPr>
              <w:t>CUSIP:</w:t>
            </w:r>
          </w:p>
        </w:tc>
        <w:tc>
          <w:tcPr>
            <w:tcW w:w="1040" w:type="dxa"/>
            <w:vAlign w:val="bottom"/>
            <w:gridSpan w:val="2"/>
          </w:tcPr>
          <w:p>
            <w:pPr>
              <w:spacing w:after="0"/>
              <w:rPr>
                <w:sz w:val="20"/>
                <w:szCs w:val="20"/>
                <w:color w:val="auto"/>
              </w:rPr>
            </w:pPr>
            <w:r>
              <w:rPr>
                <w:rFonts w:ascii="Arial" w:cs="Arial" w:eastAsia="Arial" w:hAnsi="Arial"/>
                <w:sz w:val="18"/>
                <w:szCs w:val="18"/>
                <w:color w:val="auto"/>
              </w:rPr>
              <w:t>038923 850</w:t>
            </w:r>
          </w:p>
        </w:tc>
        <w:tc>
          <w:tcPr>
            <w:tcW w:w="7000" w:type="dxa"/>
            <w:vAlign w:val="bottom"/>
          </w:tcPr>
          <w:p>
            <w:pPr>
              <w:spacing w:after="0"/>
              <w:rPr>
                <w:sz w:val="24"/>
                <w:szCs w:val="24"/>
                <w:color w:val="auto"/>
              </w:rPr>
            </w:pPr>
          </w:p>
        </w:tc>
      </w:tr>
      <w:tr>
        <w:trPr>
          <w:trHeight w:val="338"/>
        </w:trPr>
        <w:tc>
          <w:tcPr>
            <w:tcW w:w="3160" w:type="dxa"/>
            <w:vAlign w:val="bottom"/>
          </w:tcPr>
          <w:p>
            <w:pPr>
              <w:spacing w:after="0"/>
              <w:rPr>
                <w:sz w:val="20"/>
                <w:szCs w:val="20"/>
                <w:color w:val="auto"/>
              </w:rPr>
            </w:pPr>
            <w:r>
              <w:rPr>
                <w:rFonts w:ascii="Arial" w:cs="Arial" w:eastAsia="Arial" w:hAnsi="Arial"/>
                <w:sz w:val="18"/>
                <w:szCs w:val="18"/>
                <w:b w:val="1"/>
                <w:bCs w:val="1"/>
                <w:color w:val="auto"/>
              </w:rPr>
              <w:t>ISIN:</w:t>
            </w:r>
          </w:p>
        </w:tc>
        <w:tc>
          <w:tcPr>
            <w:tcW w:w="8040" w:type="dxa"/>
            <w:vAlign w:val="bottom"/>
            <w:gridSpan w:val="3"/>
          </w:tcPr>
          <w:p>
            <w:pPr>
              <w:spacing w:after="0"/>
              <w:rPr>
                <w:sz w:val="20"/>
                <w:szCs w:val="20"/>
                <w:color w:val="auto"/>
              </w:rPr>
            </w:pPr>
            <w:r>
              <w:rPr>
                <w:rFonts w:ascii="Arial" w:cs="Arial" w:eastAsia="Arial" w:hAnsi="Arial"/>
                <w:sz w:val="18"/>
                <w:szCs w:val="18"/>
                <w:color w:val="auto"/>
              </w:rPr>
              <w:t>US0389238504</w:t>
            </w:r>
          </w:p>
        </w:tc>
      </w:tr>
      <w:tr>
        <w:trPr>
          <w:trHeight w:val="338"/>
        </w:trPr>
        <w:tc>
          <w:tcPr>
            <w:tcW w:w="3160" w:type="dxa"/>
            <w:vAlign w:val="bottom"/>
          </w:tcPr>
          <w:p>
            <w:pPr>
              <w:spacing w:after="0"/>
              <w:rPr>
                <w:sz w:val="20"/>
                <w:szCs w:val="20"/>
                <w:color w:val="auto"/>
              </w:rPr>
            </w:pPr>
            <w:r>
              <w:rPr>
                <w:rFonts w:ascii="Arial" w:cs="Arial" w:eastAsia="Arial" w:hAnsi="Arial"/>
                <w:sz w:val="18"/>
                <w:szCs w:val="18"/>
                <w:b w:val="1"/>
                <w:bCs w:val="1"/>
                <w:color w:val="auto"/>
              </w:rPr>
              <w:t>Sole Book-Running Manager:</w:t>
            </w:r>
          </w:p>
        </w:tc>
        <w:tc>
          <w:tcPr>
            <w:tcW w:w="8040" w:type="dxa"/>
            <w:vAlign w:val="bottom"/>
            <w:gridSpan w:val="3"/>
          </w:tcPr>
          <w:p>
            <w:pPr>
              <w:spacing w:after="0"/>
              <w:rPr>
                <w:sz w:val="20"/>
                <w:szCs w:val="20"/>
                <w:color w:val="auto"/>
              </w:rPr>
            </w:pPr>
            <w:r>
              <w:rPr>
                <w:rFonts w:ascii="Arial" w:cs="Arial" w:eastAsia="Arial" w:hAnsi="Arial"/>
                <w:sz w:val="18"/>
                <w:szCs w:val="18"/>
                <w:color w:val="auto"/>
              </w:rPr>
              <w:t>Raymond James &amp; Associates, Inc.</w:t>
            </w:r>
          </w:p>
        </w:tc>
      </w:tr>
      <w:tr>
        <w:trPr>
          <w:trHeight w:val="323"/>
        </w:trPr>
        <w:tc>
          <w:tcPr>
            <w:tcW w:w="316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040" w:type="dxa"/>
            <w:vAlign w:val="bottom"/>
            <w:gridSpan w:val="3"/>
          </w:tcPr>
          <w:p>
            <w:pPr>
              <w:spacing w:after="0"/>
              <w:rPr>
                <w:sz w:val="20"/>
                <w:szCs w:val="20"/>
                <w:color w:val="auto"/>
              </w:rPr>
            </w:pPr>
            <w:r>
              <w:rPr>
                <w:rFonts w:ascii="Arial" w:cs="Arial" w:eastAsia="Arial" w:hAnsi="Arial"/>
                <w:sz w:val="18"/>
                <w:szCs w:val="18"/>
                <w:color w:val="auto"/>
                <w:w w:val="95"/>
              </w:rPr>
              <w:t>The Issuer plans to use the net proceeds from the sale of the shares of the Series F Preferred Stock, after</w:t>
            </w:r>
          </w:p>
        </w:tc>
      </w:tr>
      <w:tr>
        <w:trPr>
          <w:trHeight w:val="216"/>
        </w:trPr>
        <w:tc>
          <w:tcPr>
            <w:tcW w:w="316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6"/>
              </w:rPr>
              <w:t>deducting commissions and offering expenses payable by the Issuer, to make investments relating to the</w:t>
            </w:r>
          </w:p>
        </w:tc>
      </w:tr>
      <w:tr>
        <w:trPr>
          <w:trHeight w:val="230"/>
        </w:trPr>
        <w:tc>
          <w:tcPr>
            <w:tcW w:w="3160" w:type="dxa"/>
            <w:vAlign w:val="bottom"/>
          </w:tcPr>
          <w:p>
            <w:pPr>
              <w:spacing w:after="0"/>
              <w:rPr>
                <w:sz w:val="20"/>
                <w:szCs w:val="20"/>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Issuer’s business and for general corporate purposes.</w:t>
            </w:r>
          </w:p>
        </w:tc>
      </w:tr>
    </w:tbl>
    <w:p>
      <w:pPr>
        <w:spacing w:after="0" w:line="323" w:lineRule="exact"/>
        <w:rPr>
          <w:sz w:val="20"/>
          <w:szCs w:val="20"/>
          <w:color w:val="auto"/>
        </w:rPr>
      </w:pPr>
    </w:p>
    <w:p>
      <w:pPr>
        <w:ind w:right="40" w:firstLine="8"/>
        <w:spacing w:after="0" w:line="293" w:lineRule="auto"/>
        <w:tabs>
          <w:tab w:leader="none" w:pos="132" w:val="left"/>
        </w:tabs>
        <w:numPr>
          <w:ilvl w:val="0"/>
          <w:numId w:val="1"/>
        </w:numPr>
        <w:rPr>
          <w:rFonts w:ascii="Arial" w:cs="Arial" w:eastAsia="Arial" w:hAnsi="Arial"/>
          <w:sz w:val="16"/>
          <w:szCs w:val="16"/>
          <w:color w:val="auto"/>
          <w:highlight w:val="white"/>
        </w:rPr>
      </w:pPr>
      <w:r>
        <w:rPr>
          <w:rFonts w:ascii="Arial" w:cs="Arial" w:eastAsia="Arial" w:hAnsi="Arial"/>
          <w:sz w:val="16"/>
          <w:szCs w:val="16"/>
          <w:color w:val="auto"/>
          <w:highlight w:val="white"/>
        </w:rPr>
        <w:t>We expect that delivery of the shares of the Series F Preferred Stock will be made to investors on or about the fifth business day following the date of this prospectus (such settlement being referred to as “T+5”). Under Rule 15c6-1 of the Exchange Act, trades in the secondary market are required to settle in two business days, unless the parties to any such trade expressly agree otherwise. Accordingly, purchasers who wish to trade shares of the Series F Preferred Stock prior to the close of business on the second day before their delivery will be required, by virtue of the fact that the shares initially settle in T+5, to specify an alternative settlement arrangement at the time of any such trade to prevent a failed settlement. Purchasers of the shares of the Series F Preferred Stock who wish to trade shares prior to the close of business on the second day before their delivery hereunder should consult their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13232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4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Issuer has filed a registration statement (including a prospectus and a prospectus supplement) with the SEC for the offering to which this communication relates. Before you invest, you should read the prospectus and the prospectus supplement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and the prospectus supplement if you request it by calling Raymond James &amp; Associates, Inc. at (800) 248-8863.</w:t>
      </w:r>
    </w:p>
    <w:p>
      <w:pPr>
        <w:spacing w:after="0" w:line="1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2021-10-05T05:11:33Z</dcterms:created>
  <dcterms:modified xsi:type="dcterms:W3CDTF">2021-10-05T05:11:33Z</dcterms:modified>
</cp:coreProperties>
</file>