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Arbor Realty Trust,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9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001-32136</w:t>
            </w:r>
          </w:p>
        </w:tc>
        <w:tc>
          <w:tcPr>
            <w:tcW w:w="31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20-0057959</w:t>
            </w:r>
          </w:p>
        </w:tc>
      </w:tr>
      <w:tr>
        <w:trPr>
          <w:trHeight w:val="270"/>
        </w:trPr>
        <w:tc>
          <w:tcPr>
            <w:tcW w:w="4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31"/>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333 Earle Ovington Boulevard, Suite 900, Uniondale,</w:t>
            </w:r>
          </w:p>
        </w:tc>
        <w:tc>
          <w:tcPr>
            <w:tcW w:w="29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8"/>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tcPr>
          <w:p>
            <w:pPr>
              <w:spacing w:after="0"/>
              <w:rPr>
                <w:sz w:val="20"/>
                <w:szCs w:val="20"/>
                <w:color w:val="auto"/>
              </w:rPr>
            </w:pPr>
          </w:p>
        </w:tc>
        <w:tc>
          <w:tcPr>
            <w:tcW w:w="31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70"/>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2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506-4200</w:t>
      </w:r>
    </w:p>
    <w:p>
      <w:pPr>
        <w:spacing w:after="0" w:line="189"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59"/>
        </w:trPr>
        <w:tc>
          <w:tcPr>
            <w:tcW w:w="482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5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ABR</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65"/>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 6.375% Series D Cumulative Redeemable, par</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23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$0.01 per share</w:t>
            </w: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ABR-PD</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65"/>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Preferred Stock, 6.25%</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E Cumulative Redeemable, par</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23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$0.01 per share</w:t>
            </w: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ABR-PE</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65"/>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Preferred Stock, 6.25%</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F Fixed-to-Floating Rate</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234"/>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Cumulative Redeemable, par value $0.01 per share</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ABR-PF</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October 30, 2026, Arbor Realty Trust, Inc. issued a press release announcing its financial results for the quarter ended September 30, 2026, a copy of which is attached hereto as Exhibit 99.1.</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09"/>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October 30,</w:t>
            </w:r>
          </w:p>
        </w:tc>
        <w:tc>
          <w:tcPr>
            <w:tcW w:w="38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2026</w:t>
            </w:r>
          </w:p>
        </w:tc>
        <w:tc>
          <w:tcPr>
            <w:tcW w:w="66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53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103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ARBOR REALTY TRUST, INC.</w:t>
            </w:r>
          </w:p>
        </w:tc>
      </w:tr>
      <w:tr>
        <w:trPr>
          <w:trHeight w:val="52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2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57"/>
        </w:trPr>
        <w:tc>
          <w:tcPr>
            <w:tcW w:w="3540" w:type="dxa"/>
            <w:vAlign w:val="bottom"/>
          </w:tcPr>
          <w:p>
            <w:pPr>
              <w:spacing w:after="0"/>
              <w:rPr>
                <w:sz w:val="22"/>
                <w:szCs w:val="22"/>
                <w:color w:val="auto"/>
              </w:rPr>
            </w:pPr>
          </w:p>
        </w:tc>
        <w:tc>
          <w:tcPr>
            <w:tcW w:w="2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Elenio</w:t>
            </w:r>
          </w:p>
        </w:tc>
      </w:tr>
      <w:tr>
        <w:trPr>
          <w:trHeight w:val="283"/>
        </w:trPr>
        <w:tc>
          <w:tcPr>
            <w:tcW w:w="3540" w:type="dxa"/>
            <w:vAlign w:val="bottom"/>
          </w:tcPr>
          <w:p>
            <w:pPr>
              <w:spacing w:after="0"/>
              <w:rPr>
                <w:sz w:val="24"/>
                <w:szCs w:val="24"/>
                <w:color w:val="auto"/>
              </w:rPr>
            </w:pPr>
          </w:p>
        </w:tc>
        <w:tc>
          <w:tcPr>
            <w:tcW w:w="2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2522855</wp:posOffset>
            </wp:positionH>
            <wp:positionV relativeFrom="page">
              <wp:posOffset>1151890</wp:posOffset>
            </wp:positionV>
            <wp:extent cx="250317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031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Arbor Realty Trust Reports Third Quarter 2026 Results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Highlights:</w:t>
      </w:r>
    </w:p>
    <w:p>
      <w:pPr>
        <w:spacing w:after="0" w:line="1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net loss of $(85.4) million, or $(0.51) per diluted common share</w:t>
      </w:r>
    </w:p>
    <w:p>
      <w:pPr>
        <w:spacing w:after="0" w:line="98" w:lineRule="exact"/>
        <w:rPr>
          <w:rFonts w:ascii="Times New Roman" w:cs="Times New Roman" w:eastAsia="Times New Roman" w:hAnsi="Times New Roman"/>
          <w:sz w:val="22"/>
          <w:szCs w:val="22"/>
          <w:color w:val="auto"/>
        </w:rPr>
      </w:pPr>
    </w:p>
    <w:p>
      <w:pPr>
        <w:ind w:left="660" w:hanging="328"/>
        <w:spacing w:after="0" w:line="26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Distributable loss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$(0.04) per diluted common share, or distributable earnings of $0.08 excluding $21.7 million of net realized losses from the resolution of certain legacy assets</w:t>
      </w:r>
    </w:p>
    <w:p>
      <w:pPr>
        <w:spacing w:after="0" w:line="30" w:lineRule="exact"/>
        <w:rPr>
          <w:rFonts w:ascii="Times New Roman" w:cs="Times New Roman" w:eastAsia="Times New Roman" w:hAnsi="Times New Roman"/>
          <w:sz w:val="22"/>
          <w:szCs w:val="22"/>
          <w:color w:val="auto"/>
        </w:rPr>
      </w:pPr>
    </w:p>
    <w:p>
      <w:pPr>
        <w:ind w:left="660" w:hanging="328"/>
        <w:spacing w:after="0" w:line="30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Suspends quarterly cash dividend on common stock during this challenging environment to preserve capital and maintain financial flexibility</w:t>
      </w:r>
    </w:p>
    <w:p>
      <w:pPr>
        <w:ind w:left="660" w:hanging="328"/>
        <w:spacing w:after="0" w:line="30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Closed an $825.0 million collateralized securitization vehicle with enhanced leverage, generating ~$50 million of additional liquidity</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Servicing portfolio of ~$36.80 billion, agency loan originations of $907.0 million</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Structured loan portfolio of ~$12.00 billion, originations of $459.2 million and runoff of $574.0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Uniondale, NY, October 30, 2026 -- Arbor Realty Trust, Inc. (NYSE: ABR), today announced financial results for the third quarter ended September 30, 2026. Arbor reported a net loss for the quarter of $(85.4) million, or $(0.51) per diluted common share, compared to net income of $38.5 million, or $0.20 per diluted common share for the quarter ended September 30, 2025. Distributable loss for the quarter was $(6.9) million, or $(0.04) per diluted common share, compared to distributable earnings of $72.9 million, or $0.35 per diluted common share for the quarter ended September 30, 2025.</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2</w:t>
            </w:r>
          </w:p>
        </w:tc>
      </w:tr>
      <w:tr>
        <w:trPr>
          <w:trHeight w:val="703"/>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Agency Business</w:t>
            </w:r>
          </w:p>
        </w:tc>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05"/>
        </w:trPr>
        <w:tc>
          <w:tcPr>
            <w:tcW w:w="6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Loan Origination Platform</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8"/>
        </w:trPr>
        <w:tc>
          <w:tcPr>
            <w:tcW w:w="15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gridSpan w:val="4"/>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Agency Loan Volume ($ in thousands)</w:t>
            </w:r>
          </w:p>
        </w:tc>
      </w:tr>
      <w:tr>
        <w:trPr>
          <w:trHeight w:val="27"/>
        </w:trPr>
        <w:tc>
          <w:tcPr>
            <w:tcW w:w="15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154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700" w:type="dxa"/>
            <w:vAlign w:val="bottom"/>
          </w:tcPr>
          <w:p>
            <w:pPr>
              <w:spacing w:after="0"/>
              <w:rPr>
                <w:sz w:val="21"/>
                <w:szCs w:val="21"/>
                <w:color w:val="auto"/>
              </w:rPr>
            </w:pPr>
          </w:p>
        </w:tc>
      </w:tr>
      <w:tr>
        <w:trPr>
          <w:trHeight w:val="27"/>
        </w:trPr>
        <w:tc>
          <w:tcPr>
            <w:tcW w:w="15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154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580" w:type="dxa"/>
            <w:vAlign w:val="bottom"/>
          </w:tcPr>
          <w:p>
            <w:pPr>
              <w:spacing w:after="0"/>
              <w:rPr>
                <w:sz w:val="21"/>
                <w:szCs w:val="21"/>
                <w:color w:val="auto"/>
              </w:rPr>
            </w:pPr>
          </w:p>
        </w:tc>
        <w:tc>
          <w:tcPr>
            <w:tcW w:w="1700" w:type="dxa"/>
            <w:vAlign w:val="bottom"/>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June 30, 2026</w:t>
            </w:r>
          </w:p>
        </w:tc>
      </w:tr>
      <w:tr>
        <w:trPr>
          <w:trHeight w:val="27"/>
        </w:trPr>
        <w:tc>
          <w:tcPr>
            <w:tcW w:w="65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18"/>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Fannie Mae</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574,805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619,130</w:t>
            </w:r>
          </w:p>
        </w:tc>
      </w:tr>
      <w:tr>
        <w:trPr>
          <w:trHeight w:val="31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Freddie Mac</w:t>
            </w:r>
          </w:p>
        </w:tc>
        <w:tc>
          <w:tcPr>
            <w:tcW w:w="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185,679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428,278</w:t>
            </w:r>
          </w:p>
        </w:tc>
      </w:tr>
      <w:tr>
        <w:trPr>
          <w:trHeight w:val="33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FHA</w:t>
            </w: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129,456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8,083</w:t>
            </w:r>
          </w:p>
        </w:tc>
      </w:tr>
      <w:tr>
        <w:trPr>
          <w:trHeight w:val="318"/>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color w:val="auto"/>
              </w:rPr>
              <w:t>SFR-Fixed Rate</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17,039</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21,272</w:t>
            </w:r>
          </w:p>
        </w:tc>
      </w:tr>
      <w:tr>
        <w:trPr>
          <w:trHeight w:val="349"/>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Originations</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906,979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1,076,763</w:t>
            </w:r>
          </w:p>
        </w:tc>
      </w:tr>
      <w:tr>
        <w:trPr>
          <w:trHeight w:val="20"/>
        </w:trPr>
        <w:tc>
          <w:tcPr>
            <w:tcW w:w="65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5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49"/>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Loan Sales</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978,152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1,143,438</w:t>
            </w:r>
          </w:p>
        </w:tc>
      </w:tr>
      <w:tr>
        <w:trPr>
          <w:trHeight w:val="20"/>
        </w:trPr>
        <w:tc>
          <w:tcPr>
            <w:tcW w:w="65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5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49"/>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Loan Commitments</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819,243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1,211,900</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the quarter ended September 30, 2026, the Agency Business generated revenues of $57.5 million, compared to $64.5 million for the second quarter of 2026. Gain on sales, including fee-based services, net was $10.9 million for the quarter, reflecting a margin of 1.12%, compared to $15.2 million and 1.33% for the second quarter of 2026. Income from mortgage servicing rights was $11.1 million for the quarter, reflecting a rate of 1.35% as a percentage of loan commitments, compared to $12.1 million and 1.00% for the second quarter of 2026.</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At September 30, 2026, loans held-for-sale was $236.8 million, with financing associated with these loans totaling $222.8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Fee-Based Servicing Portfolio</w:t>
      </w: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Company’s fee-based servicing portfolio totaled $36.80 billion at September 30, 2026. Servicing revenue, net was $25.7 million for the quarter and consisted of servicing revenue of $44.1 million, net of amortization of mortgage servicing rights totaling $18.4 million.</w:t>
      </w:r>
    </w:p>
    <w:p>
      <w:pPr>
        <w:sectPr>
          <w:pgSz w:w="11900" w:h="16838" w:orient="portrait"/>
          <w:cols w:equalWidth="0" w:num="1">
            <w:col w:w="11240"/>
          </w:cols>
          <w:pgMar w:left="320" w:top="4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5020" w:type="dxa"/>
            <w:vAlign w:val="bottom"/>
            <w:gridSpan w:val="7"/>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34"/>
        </w:trPr>
        <w:tc>
          <w:tcPr>
            <w:tcW w:w="190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3</w:t>
            </w:r>
          </w:p>
        </w:tc>
      </w:tr>
      <w:tr>
        <w:trPr>
          <w:trHeight w:val="771"/>
        </w:trPr>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8"/>
          </w:tcPr>
          <w:p>
            <w:pPr>
              <w:ind w:left="1240"/>
              <w:spacing w:after="0"/>
              <w:rPr>
                <w:sz w:val="20"/>
                <w:szCs w:val="20"/>
                <w:color w:val="auto"/>
              </w:rPr>
            </w:pPr>
            <w:r>
              <w:rPr>
                <w:rFonts w:ascii="Times New Roman" w:cs="Times New Roman" w:eastAsia="Times New Roman" w:hAnsi="Times New Roman"/>
                <w:sz w:val="18"/>
                <w:szCs w:val="18"/>
                <w:b w:val="1"/>
                <w:bCs w:val="1"/>
                <w:color w:val="auto"/>
              </w:rPr>
              <w:t>Fee-Based Servicing Portfolio ($ in thousands)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1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420" w:type="dxa"/>
            <w:vAlign w:val="bottom"/>
          </w:tcPr>
          <w:p>
            <w:pPr>
              <w:spacing w:after="0"/>
              <w:rPr>
                <w:sz w:val="21"/>
                <w:szCs w:val="21"/>
                <w:color w:val="auto"/>
              </w:rPr>
            </w:pPr>
          </w:p>
        </w:tc>
      </w:tr>
      <w:tr>
        <w:trPr>
          <w:trHeight w:val="27"/>
        </w:trPr>
        <w:tc>
          <w:tcPr>
            <w:tcW w:w="1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8"/>
        </w:trPr>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Wtd. Avg. Fee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Wtd. Avg. Life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Wtd. Avg. Fee</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Wtd. Avg. Life</w:t>
            </w:r>
          </w:p>
        </w:tc>
      </w:tr>
      <w:tr>
        <w:trPr>
          <w:trHeight w:val="238"/>
        </w:trPr>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UPB</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(bps)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20" w:type="dxa"/>
            <w:vAlign w:val="bottom"/>
          </w:tcPr>
          <w:p>
            <w:pPr>
              <w:spacing w:after="0"/>
              <w:rPr>
                <w:sz w:val="20"/>
                <w:szCs w:val="20"/>
                <w:color w:val="auto"/>
              </w:rPr>
            </w:pPr>
          </w:p>
        </w:tc>
        <w:tc>
          <w:tcPr>
            <w:tcW w:w="14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UPB</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(bps)</w:t>
            </w: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Fannie Mae</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24,545,520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43.6</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24,419,734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43.9</w:t>
            </w: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16"/>
        </w:trPr>
        <w:tc>
          <w:tcPr>
            <w:tcW w:w="1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Freddie Mac</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7,664,059</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7,672,121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w:t>
            </w: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33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Private Label</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2,461,505</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2,477,077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17"/>
        </w:trPr>
        <w:tc>
          <w:tcPr>
            <w:tcW w:w="1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FHA</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1,641,273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1,585,871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r>
        <w:trPr>
          <w:trHeight w:val="33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SFR-Fixed Rate</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255,087</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272,226</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w:t>
            </w: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8"/>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Bridge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235,888</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8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277,333</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8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4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36,803,332</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34.7</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36,704,362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35.0</w:t>
            </w: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Loans sold under the Fannie Mae program contain an obligation to partially guarantee the performance of the loan (“loss-sharing obligations”) and includes $36.9 million for the fair value of the guarantee obligation undertaken at September 30, 2026. The Company recorded a $12.4 million net provision for loss sharing associated with CECL for the third quarter of 2026. At September 30, 2026, the Company’s total CECL allowance for loss-sharing obligations was $87.3 million, representing 0.36% of the Fannie Mae servicing portfolio.</w:t>
      </w:r>
    </w:p>
    <w:p>
      <w:pPr>
        <w:sectPr>
          <w:pgSz w:w="11900" w:h="16838" w:orient="portrait"/>
          <w:cols w:equalWidth="0" w:num="1">
            <w:col w:w="11240"/>
          </w:cols>
          <w:pgMar w:left="320" w:top="4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3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4</w:t>
            </w:r>
          </w:p>
        </w:tc>
      </w:tr>
      <w:tr>
        <w:trPr>
          <w:trHeight w:val="703"/>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Structured Business</w:t>
            </w: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5"/>
        </w:trPr>
        <w:tc>
          <w:tcPr>
            <w:tcW w:w="5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Portfolio and Investment Activity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88"/>
        </w:trPr>
        <w:tc>
          <w:tcPr>
            <w:tcW w:w="1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13"/>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w w:val="99"/>
              </w:rPr>
              <w:t>Structured Portfolio Activity ($ in thousands)</w:t>
            </w:r>
          </w:p>
        </w:tc>
        <w:tc>
          <w:tcPr>
            <w:tcW w:w="820" w:type="dxa"/>
            <w:vAlign w:val="bottom"/>
          </w:tcPr>
          <w:p>
            <w:pPr>
              <w:spacing w:after="0"/>
              <w:rPr>
                <w:sz w:val="24"/>
                <w:szCs w:val="24"/>
                <w:color w:val="auto"/>
              </w:rPr>
            </w:pPr>
          </w:p>
        </w:tc>
      </w:tr>
      <w:tr>
        <w:trPr>
          <w:trHeight w:val="27"/>
        </w:trPr>
        <w:tc>
          <w:tcPr>
            <w:tcW w:w="1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8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700" w:type="dxa"/>
            <w:vAlign w:val="bottom"/>
            <w:gridSpan w:val="9"/>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82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8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82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8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UPB</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UPB</w:t>
            </w:r>
          </w:p>
        </w:tc>
        <w:tc>
          <w:tcPr>
            <w:tcW w:w="820" w:type="dxa"/>
            <w:vAlign w:val="bottom"/>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4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0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Bridge:</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SFR</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367,114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490,617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325"/>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Multifamily</w:t>
            </w:r>
          </w:p>
        </w:tc>
        <w:tc>
          <w:tcPr>
            <w:tcW w:w="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14,000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159,550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7"/>
        </w:trPr>
        <w:tc>
          <w:tcPr>
            <w:tcW w:w="1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381,114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650,167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8"/>
        </w:trPr>
        <w:tc>
          <w:tcPr>
            <w:tcW w:w="540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1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Construction - Multifamily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43,318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25"/>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Mezzanine/Preferred Equity</w:t>
            </w:r>
          </w:p>
        </w:tc>
        <w:tc>
          <w:tcPr>
            <w:tcW w:w="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34,793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gridSpan w:val="2"/>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32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Total Originations</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459,225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688,977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86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32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Number of Loans Originated</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37"/>
        </w:trPr>
        <w:tc>
          <w:tcPr>
            <w:tcW w:w="186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31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Commitments: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SFR</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91,912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48,785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18"/>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color w:val="auto"/>
              </w:rPr>
              <w:t>Construction - Multifamily</w:t>
            </w: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104,500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Borders>
              <w:bottom w:val="single" w:sz="8" w:color="CCEEFF"/>
            </w:tcBorders>
            <w:gridSpan w:val="4"/>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34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Commitments</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196,412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48,785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0"/>
        </w:trPr>
        <w:tc>
          <w:tcPr>
            <w:tcW w:w="54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217"/>
        </w:trPr>
        <w:tc>
          <w:tcPr>
            <w:tcW w:w="18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44"/>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Loan Runoff</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573,989</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539,745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r>
      <w:tr>
        <w:trPr>
          <w:trHeight w:val="20"/>
        </w:trPr>
        <w:tc>
          <w:tcPr>
            <w:tcW w:w="1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027"/>
        </w:trPr>
        <w:tc>
          <w:tcPr>
            <w:tcW w:w="1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20" w:type="dxa"/>
            <w:vAlign w:val="bottom"/>
            <w:gridSpan w:val="1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Structured Portfolio ($ in thousands)</w:t>
            </w:r>
          </w:p>
        </w:tc>
        <w:tc>
          <w:tcPr>
            <w:tcW w:w="820" w:type="dxa"/>
            <w:vAlign w:val="bottom"/>
          </w:tcPr>
          <w:p>
            <w:pPr>
              <w:spacing w:after="0"/>
              <w:rPr>
                <w:sz w:val="24"/>
                <w:szCs w:val="24"/>
                <w:color w:val="auto"/>
              </w:rPr>
            </w:pPr>
          </w:p>
        </w:tc>
      </w:tr>
      <w:tr>
        <w:trPr>
          <w:trHeight w:val="27"/>
        </w:trPr>
        <w:tc>
          <w:tcPr>
            <w:tcW w:w="1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8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82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8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8"/>
                <w:szCs w:val="18"/>
                <w:b w:val="1"/>
                <w:bCs w:val="1"/>
                <w:color w:val="auto"/>
              </w:rPr>
              <w:t>UPB</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UPB</w:t>
            </w: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4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0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Bridge:</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17"/>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Multifamily</w:t>
            </w:r>
          </w:p>
        </w:tc>
        <w:tc>
          <w:tcPr>
            <w:tcW w:w="3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7,682,346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7,895,187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31"/>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SFR</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3,463,471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3,376,845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8"/>
        </w:trPr>
        <w:tc>
          <w:tcPr>
            <w:tcW w:w="5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22"/>
                <w:szCs w:val="22"/>
                <w:color w:val="auto"/>
              </w:rPr>
              <w:t>Other</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46,519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&lt;1%</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46,519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&lt;1%</w:t>
            </w:r>
          </w:p>
        </w:tc>
      </w:tr>
      <w:tr>
        <w:trPr>
          <w:trHeight w:val="324"/>
        </w:trPr>
        <w:tc>
          <w:tcPr>
            <w:tcW w:w="18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11,192,336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11,318,551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540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32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Mezzanine/Preferred Equity</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527,888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502,998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8"/>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2"/>
                <w:szCs w:val="22"/>
                <w:color w:val="auto"/>
              </w:rPr>
              <w:t>Construction - Multifamily</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279,494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285,482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49"/>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Portfolio</w:t>
            </w:r>
          </w:p>
        </w:tc>
        <w:tc>
          <w:tcPr>
            <w:tcW w:w="30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11,999,718</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7"/>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12,107,031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405"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p>
      <w:pPr>
        <w:spacing w:after="0" w:line="382"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October 30, 2026</w:t>
      </w:r>
      <w:r>
        <w:rPr>
          <w:sz w:val="20"/>
          <w:szCs w:val="20"/>
          <w:color w:val="auto"/>
        </w:rPr>
        <w:tab/>
      </w:r>
      <w:r>
        <w:rPr>
          <w:rFonts w:ascii="Times New Roman" w:cs="Times New Roman" w:eastAsia="Times New Roman" w:hAnsi="Times New Roman"/>
          <w:sz w:val="21"/>
          <w:szCs w:val="21"/>
          <w:i w:val="1"/>
          <w:iCs w:val="1"/>
          <w:color w:val="auto"/>
        </w:rPr>
        <w:t>Page 5</w:t>
      </w: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At September 30, 2026, the loan and investment portfolio’s unpaid principal balance ("UPB"), excluding loan loss reserves, was $12.00 billion, with a weighted average interest rate of 6.54%, compared to $12.11 billion and 6.50% at June 30, 2026. Including certain fees earned and costs associated with the loan and investment portfolio, the weighted average interest rate was 6.97% at September 30, 2026, compared to 6.95% at June 30, 2026.</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average balance of the Company’s loan and investment portfolio during the third quarter of 2026, excluding loan loss reserves, was $12.11 billion with a weighted average yield of 6.84%, compared to $12.08 billion and 7.21% for the second quarter of 2026. The decrease in the weighted average yield was primarily due to additional delinquencies and rate modifications in the third quarter of 2026.</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During the third quarter of 2026, the Company recorded a $53.0 million net provision for loan losses associated with CECL. At September 30, 2026, the Company’s total allowance for loan losses was $210.1 million. The Company had thirty-two non-performing loans with a UPB of $647.6 million, before related loan loss reserves of $41.9 million, compared to nineteen non-performing loans with a UPB of $428.8 million, before loan loss reserves of $31.1 million at June 30, 2026. In addition, the Company recorded $34.1 million of impairments on six real estate owned properties.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 addition, at September 30, 2026, the Company had two non-accrual loans with a UPB of $95.9 million that were less than 60 days past due, compared to three non-accrual loans with a UPB of $94.9 million at June 30, 2026.</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third quarter of 2026, the Company modified 6 loans to borrowers experiencing financial difficulty with a total UPB of $192.1 million, the majority of which had borrowers investing additional capital to recapitalize their deals.</w:t>
      </w:r>
    </w:p>
    <w:p>
      <w:pPr>
        <w:spacing w:after="0" w:line="158" w:lineRule="exact"/>
        <w:rPr>
          <w:sz w:val="20"/>
          <w:szCs w:val="20"/>
          <w:color w:val="auto"/>
        </w:rPr>
      </w:pPr>
    </w:p>
    <w:p>
      <w:pPr>
        <w:ind w:right="580"/>
        <w:spacing w:after="0" w:line="454" w:lineRule="auto"/>
        <w:rPr>
          <w:sz w:val="20"/>
          <w:szCs w:val="20"/>
          <w:color w:val="auto"/>
        </w:rPr>
      </w:pPr>
      <w:r>
        <w:rPr>
          <w:rFonts w:ascii="Times New Roman" w:cs="Times New Roman" w:eastAsia="Times New Roman" w:hAnsi="Times New Roman"/>
          <w:sz w:val="22"/>
          <w:szCs w:val="22"/>
          <w:color w:val="auto"/>
        </w:rPr>
        <w:t xml:space="preserve">The Company foreclosed on one loan with a UPB of $13.2 million and sold five existing REO properties for $39.0 million. </w:t>
      </w:r>
      <w:r>
        <w:rPr>
          <w:rFonts w:ascii="Times New Roman" w:cs="Times New Roman" w:eastAsia="Times New Roman" w:hAnsi="Times New Roman"/>
          <w:sz w:val="22"/>
          <w:szCs w:val="22"/>
          <w:b w:val="1"/>
          <w:bCs w:val="1"/>
          <w:i w:val="1"/>
          <w:iCs w:val="1"/>
          <w:color w:val="auto"/>
        </w:rPr>
        <w:t>Financing Activity</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balance of debt that finances the Company’s loan and investment portfolio at September 30, 2026 was $10.75 billion with a weighted average interest rate including fees of 6.69%, as compared to $10.48 billion and a rate of 6.38% at June 30, 2026.</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average balance of debt that finances the Company’s loan and investment portfolio for the third quarter of 2026 was $10.70 billion, as compared to $10.51 billion for the second quarter of 2026. The average cost of borrowings for the third quarter of 2026 was 6.66%, compared to 6.56% for the second quarter of 2026. The increase in average cost was primarily due to the convertible senior unsecured notes offering, as well as an increase in the average SOFR rate in the third quarter of 2026.</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completed an $825.0 million collateralized securitization secured initially by a portfolio of real estate related assets and cash. Investment grade-rated notes totaling $730.1 million were issued, and the Company retained subordinate interests in the issuing vehicle of $112.4 million, including $17.5 million of the investment grade notes. The facility has a two and a half year asset replenishment period and an initial weighted average interest rate of the notes issued to third parties of 1.70% plus term SOFR, excluding fees and transaction costs.</w:t>
      </w:r>
    </w:p>
    <w:p>
      <w:pPr>
        <w:sectPr>
          <w:pgSz w:w="11900" w:h="16838" w:orient="portrait"/>
          <w:cols w:equalWidth="0" w:num="1">
            <w:col w:w="11240"/>
          </w:cols>
          <w:pgMar w:left="320" w:top="405"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p>
      <w:pPr>
        <w:spacing w:after="0" w:line="382"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October 30, 2026</w:t>
      </w:r>
      <w:r>
        <w:rPr>
          <w:sz w:val="20"/>
          <w:szCs w:val="20"/>
          <w:color w:val="auto"/>
        </w:rPr>
        <w:tab/>
      </w:r>
      <w:r>
        <w:rPr>
          <w:rFonts w:ascii="Times New Roman" w:cs="Times New Roman" w:eastAsia="Times New Roman" w:hAnsi="Times New Roman"/>
          <w:sz w:val="21"/>
          <w:szCs w:val="21"/>
          <w:i w:val="1"/>
          <w:iCs w:val="1"/>
          <w:color w:val="auto"/>
        </w:rPr>
        <w:t>Page 6</w:t>
      </w: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completed an upsized $375.0 million offering of 6.25% convertible senior notes due 2029. The Company used the offering proceeds to redeem its $270.0 million of 4.50% senior notes and to repurchase common stock through two separate transactions: $11.6 million to repurchase ~2.1 million shares concurrently with the offering and $114.3 million to repurchase ~18.9 million shares pursuant to a prepaid forward stock repurchase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announced today that its Board of Directors has elected to suspend its quarterly common stock dividend, effective immediately. The decision reflects the Company's continued focus on preserving capital and maintaining financial flexibility to address upcoming debt maturities and support the resolution of legacy assets. The Company will continue to evaluate its dividend policy based upon market conditions and the Company's performance, capital needs, and REIT distribution requirements with a continued focus on preserving book value and maximizing long-term shareholder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Conference Call</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will host a conference call today at 10:00 a.m. Eastern Time. A live webcast and replay of the conference call will be available at www.arbor.com in the investor relations section of the Company’s website, or you can access the call telephonically at least ten minutes prior to the conference call. The dial-in numbers are (833) 419-0865 for domestic callers and (785) 838-9333 for international callers. Please use participant passcode ABRQ326 when prompted by the operator.</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telephonic replay of the call will be available until November 6, 2026. The replay dial-in numbers are (800) 839-2435 for domestic callers and (402) 220-7212 for international callers.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Arbor Realty Trust, Inc.</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Arbor Realty Trust, Inc.</w:t>
      </w:r>
      <w:r>
        <w:rPr>
          <w:rFonts w:ascii="Times New Roman" w:cs="Times New Roman" w:eastAsia="Times New Roman" w:hAnsi="Times New Roman"/>
          <w:sz w:val="22"/>
          <w:szCs w:val="22"/>
          <w:color w:val="auto"/>
        </w:rPr>
        <w:t xml:space="preserve"> (NYSE: </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xml:space="preserve">) is a nationwide real estate investment trust and direct lender, providing loan origination and servicing for multifamily, single-family rental (SFR) portfolios, and other diverse commercial real estate assets. Headquartered in New York, Arbor manages a multibillion-dollar servicing portfolio, specializing in government-sponsored enterprise products. Arbor is a leading </w:t>
      </w:r>
      <w:r>
        <w:rPr>
          <w:rFonts w:ascii="Times New Roman" w:cs="Times New Roman" w:eastAsia="Times New Roman" w:hAnsi="Times New Roman"/>
          <w:sz w:val="22"/>
          <w:szCs w:val="22"/>
          <w:u w:val="single" w:color="auto"/>
          <w:color w:val="auto"/>
        </w:rPr>
        <w:t>Fannie Mae DUS®</w:t>
      </w:r>
      <w:r>
        <w:rPr>
          <w:rFonts w:ascii="Times New Roman" w:cs="Times New Roman" w:eastAsia="Times New Roman" w:hAnsi="Times New Roman"/>
          <w:sz w:val="22"/>
          <w:szCs w:val="22"/>
          <w:color w:val="auto"/>
        </w:rPr>
        <w:t xml:space="preserve"> lender and </w:t>
      </w:r>
      <w:r>
        <w:rPr>
          <w:rFonts w:ascii="Times New Roman" w:cs="Times New Roman" w:eastAsia="Times New Roman" w:hAnsi="Times New Roman"/>
          <w:sz w:val="22"/>
          <w:szCs w:val="22"/>
          <w:u w:val="single" w:color="auto"/>
          <w:color w:val="auto"/>
        </w:rPr>
        <w:t>Freddie Mac Optigo®</w:t>
      </w:r>
      <w:r>
        <w:rPr>
          <w:rFonts w:ascii="Times New Roman" w:cs="Times New Roman" w:eastAsia="Times New Roman" w:hAnsi="Times New Roman"/>
          <w:sz w:val="22"/>
          <w:szCs w:val="22"/>
          <w:color w:val="auto"/>
        </w:rPr>
        <w:t xml:space="preserve"> Seller/Servicer, and an approved FHA Multifamily Accelerated Processing (MAP) lender. Arbor’s product platform also includes </w:t>
      </w:r>
      <w:r>
        <w:rPr>
          <w:rFonts w:ascii="Times New Roman" w:cs="Times New Roman" w:eastAsia="Times New Roman" w:hAnsi="Times New Roman"/>
          <w:sz w:val="22"/>
          <w:szCs w:val="22"/>
          <w:u w:val="single" w:color="auto"/>
          <w:color w:val="auto"/>
        </w:rPr>
        <w:t>bridge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CMBS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mezzanine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preferred equity</w:t>
      </w:r>
      <w:r>
        <w:rPr>
          <w:rFonts w:ascii="Times New Roman" w:cs="Times New Roman" w:eastAsia="Times New Roman" w:hAnsi="Times New Roman"/>
          <w:sz w:val="22"/>
          <w:szCs w:val="22"/>
          <w:color w:val="auto"/>
        </w:rPr>
        <w:t xml:space="preserve"> loans. Rated by Standard and Poor’s and Fitch Ratings, Arbor is committed to building on its reputation for service, quality, and customized solutions with an unparalleled dedication to providing our clients excellence over the entire life of a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Safe Harbor Statement</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Arbor can give no assurance that its expectations will be attained. Factors that</w:t>
      </w:r>
    </w:p>
    <w:p>
      <w:pPr>
        <w:sectPr>
          <w:pgSz w:w="11900" w:h="16838" w:orient="portrait"/>
          <w:cols w:equalWidth="0" w:num="1">
            <w:col w:w="11240"/>
          </w:cols>
          <w:pgMar w:left="320" w:top="405"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p>
      <w:pPr>
        <w:spacing w:after="0" w:line="382"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October 30, 2026</w:t>
      </w:r>
      <w:r>
        <w:rPr>
          <w:sz w:val="20"/>
          <w:szCs w:val="20"/>
          <w:color w:val="auto"/>
        </w:rPr>
        <w:tab/>
      </w:r>
      <w:r>
        <w:rPr>
          <w:rFonts w:ascii="Times New Roman" w:cs="Times New Roman" w:eastAsia="Times New Roman" w:hAnsi="Times New Roman"/>
          <w:sz w:val="21"/>
          <w:szCs w:val="21"/>
          <w:i w:val="1"/>
          <w:iCs w:val="1"/>
          <w:color w:val="auto"/>
        </w:rPr>
        <w:t>Page 7</w:t>
      </w:r>
    </w:p>
    <w:p>
      <w:pPr>
        <w:spacing w:after="0" w:line="200" w:lineRule="exact"/>
        <w:rPr>
          <w:sz w:val="20"/>
          <w:szCs w:val="20"/>
          <w:color w:val="auto"/>
        </w:rPr>
      </w:pPr>
    </w:p>
    <w:p>
      <w:pPr>
        <w:spacing w:after="0" w:line="3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could cause actual results to differ materially from Arbor’s expectations include, but are not limited to, changes in economic conditions generally, and the real estate markets specifically, continued ability to source new investments, changes in interest rates and/or credit spreads, and other risks detailed in Arbor’s Annual Report on Form 10-K for the year ended December 31, 2025 and its other reports filed with the SEC. Such forward-looking statements speak only as of the date of this press release. Arbor expressly disclaims any obligation or undertaking to release publicly any updates or revisions to any forward-looking statements contained herein to reflect any change in Arbor’s expectations with regard thereto or change in events, conditions, or circumstances on which any such statement is based.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37" w:lineRule="exact"/>
        <w:rPr>
          <w:sz w:val="20"/>
          <w:szCs w:val="20"/>
          <w:color w:val="auto"/>
        </w:rPr>
      </w:pPr>
    </w:p>
    <w:p>
      <w:pPr>
        <w:jc w:val="both"/>
        <w:ind w:left="340" w:hanging="332"/>
        <w:spacing w:after="0" w:line="252" w:lineRule="auto"/>
        <w:tabs>
          <w:tab w:leader="none" w:pos="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quarterly earnings conference call, the Company may discuss non-GAAP financial measures as defined by SEC Regulation G. In addition, the Company has used non-GAAP financial measures in this press release. A supplemental schedule of non-GAAP financial measures and the comparable GAAP financial measure can be found on the last two pages of this release.</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Contact:</w:t>
            </w:r>
          </w:p>
        </w:tc>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Arbor Realty Trust, Inc.</w:t>
            </w:r>
          </w:p>
        </w:tc>
      </w:tr>
      <w:tr>
        <w:trPr>
          <w:trHeight w:val="277"/>
        </w:trPr>
        <w:tc>
          <w:tcPr>
            <w:tcW w:w="74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Investor Relations</w:t>
            </w:r>
          </w:p>
        </w:tc>
      </w:tr>
      <w:tr>
        <w:trPr>
          <w:trHeight w:val="256"/>
        </w:trPr>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516-506-4200</w:t>
            </w:r>
          </w:p>
        </w:tc>
      </w:tr>
      <w:tr>
        <w:trPr>
          <w:trHeight w:val="230"/>
        </w:trPr>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7"/>
              </w:rPr>
              <w:t>InvestorRelations@arbor.com</w:t>
            </w:r>
          </w:p>
        </w:tc>
      </w:tr>
    </w:tbl>
    <w:p>
      <w:pPr>
        <w:sectPr>
          <w:pgSz w:w="11900" w:h="16838" w:orient="portrait"/>
          <w:cols w:equalWidth="0" w:num="1">
            <w:col w:w="11240"/>
          </w:cols>
          <w:pgMar w:left="320" w:top="405"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1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34"/>
        </w:trPr>
        <w:tc>
          <w:tcPr>
            <w:tcW w:w="51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8</w:t>
            </w:r>
          </w:p>
        </w:tc>
      </w:tr>
      <w:tr>
        <w:trPr>
          <w:trHeight w:val="604"/>
        </w:trPr>
        <w:tc>
          <w:tcPr>
            <w:tcW w:w="8000" w:type="dxa"/>
            <w:vAlign w:val="bottom"/>
            <w:gridSpan w:val="7"/>
          </w:tcPr>
          <w:p>
            <w:pPr>
              <w:jc w:val="center"/>
              <w:ind w:left="3109"/>
              <w:spacing w:after="0"/>
              <w:rPr>
                <w:sz w:val="20"/>
                <w:szCs w:val="20"/>
                <w:color w:val="auto"/>
              </w:rPr>
            </w:pPr>
            <w:r>
              <w:rPr>
                <w:rFonts w:ascii="Times New Roman" w:cs="Times New Roman" w:eastAsia="Times New Roman" w:hAnsi="Times New Roman"/>
                <w:sz w:val="18"/>
                <w:szCs w:val="18"/>
                <w:b w:val="1"/>
                <w:bCs w:val="1"/>
                <w:color w:val="auto"/>
                <w:w w:val="99"/>
              </w:rPr>
              <w:t>ARBOR REALTY TRUST, INC. AND SUBSIDIARIES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8000" w:type="dxa"/>
            <w:vAlign w:val="bottom"/>
            <w:gridSpan w:val="7"/>
          </w:tcPr>
          <w:p>
            <w:pPr>
              <w:jc w:val="center"/>
              <w:ind w:left="3109"/>
              <w:spacing w:after="0"/>
              <w:rPr>
                <w:sz w:val="20"/>
                <w:szCs w:val="20"/>
                <w:color w:val="auto"/>
              </w:rPr>
            </w:pPr>
            <w:r>
              <w:rPr>
                <w:rFonts w:ascii="Times New Roman" w:cs="Times New Roman" w:eastAsia="Times New Roman" w:hAnsi="Times New Roman"/>
                <w:sz w:val="18"/>
                <w:szCs w:val="18"/>
                <w:color w:val="auto"/>
              </w:rPr>
              <w:t>Consolidated Statements of Operations - (Unaudited)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8000" w:type="dxa"/>
            <w:vAlign w:val="bottom"/>
            <w:gridSpan w:val="7"/>
          </w:tcPr>
          <w:p>
            <w:pPr>
              <w:jc w:val="center"/>
              <w:ind w:left="3129"/>
              <w:spacing w:after="0"/>
              <w:rPr>
                <w:sz w:val="20"/>
                <w:szCs w:val="20"/>
                <w:color w:val="auto"/>
              </w:rPr>
            </w:pPr>
            <w:r>
              <w:rPr>
                <w:rFonts w:ascii="Times New Roman" w:cs="Times New Roman" w:eastAsia="Times New Roman" w:hAnsi="Times New Roman"/>
                <w:sz w:val="18"/>
                <w:szCs w:val="18"/>
                <w:color w:val="auto"/>
                <w:w w:val="99"/>
              </w:rPr>
              <w:t>($ in thousands—except share and per share data)</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7"/>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Quarter Ended September 30,</w:t>
            </w:r>
          </w:p>
        </w:tc>
        <w:tc>
          <w:tcPr>
            <w:tcW w:w="260" w:type="dxa"/>
            <w:vAlign w:val="bottom"/>
          </w:tcPr>
          <w:p>
            <w:pPr>
              <w:spacing w:after="0"/>
              <w:rPr>
                <w:sz w:val="24"/>
                <w:szCs w:val="24"/>
                <w:color w:val="auto"/>
              </w:rPr>
            </w:pPr>
          </w:p>
        </w:tc>
        <w:tc>
          <w:tcPr>
            <w:tcW w:w="294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703,997</w:t>
            </w:r>
          </w:p>
        </w:tc>
      </w:tr>
      <w:tr>
        <w:trPr>
          <w:trHeight w:val="257"/>
        </w:trPr>
        <w:tc>
          <w:tcPr>
            <w:tcW w:w="5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521,564</w:t>
            </w: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182,433</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82,692</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revenue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194,569</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131,386</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47,773</w:t>
            </w:r>
          </w:p>
        </w:tc>
      </w:tr>
      <w:tr>
        <w:trPr>
          <w:trHeight w:val="25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177,761</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98,468</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429,167</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270,804</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extinguishment of debt, gain (loss) on real</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1"/>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(loss) income from equity affiliates and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106,198</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real estate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equity affiliates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47,224</w:t>
            </w: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r>
      <w:tr>
        <w:trPr>
          <w:trHeight w:val="25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(82,407)</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(101,548)</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131,707</w:t>
            </w: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7"/>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0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0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5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5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0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193,748,462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192,028,656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210,517,762</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208,807,751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5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8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405" w:right="3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32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34"/>
        </w:trPr>
        <w:tc>
          <w:tcPr>
            <w:tcW w:w="732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9</w:t>
            </w:r>
          </w:p>
        </w:tc>
      </w:tr>
      <w:tr>
        <w:trPr>
          <w:trHeight w:val="604"/>
        </w:trPr>
        <w:tc>
          <w:tcPr>
            <w:tcW w:w="9320" w:type="dxa"/>
            <w:vAlign w:val="bottom"/>
            <w:gridSpan w:val="4"/>
          </w:tcPr>
          <w:p>
            <w:pPr>
              <w:ind w:left="3480"/>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73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7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in thousands—except share and per share data)</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4"/>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69"/>
        </w:trPr>
        <w:tc>
          <w:tcPr>
            <w:tcW w:w="7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0" w:type="dxa"/>
            <w:vAlign w:val="bottom"/>
          </w:tcPr>
          <w:p>
            <w:pPr>
              <w:spacing w:after="0"/>
              <w:rPr>
                <w:sz w:val="23"/>
                <w:szCs w:val="23"/>
                <w:color w:val="auto"/>
              </w:rPr>
            </w:pPr>
          </w:p>
        </w:tc>
        <w:tc>
          <w:tcPr>
            <w:tcW w:w="1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439,689</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482,875</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67,347</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investments, net (allowance for credit losses of $210,104 and $145,971)</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11,764,328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11,934,248</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net</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409,081</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mortgage servicing rights, net</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340,842</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 net (allowance for credit losses of $15,834 and $17,013)</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156,087</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equity affiliates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57,966</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owned, net</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498,938</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86,553</w:t>
            </w:r>
          </w:p>
        </w:tc>
      </w:tr>
      <w:tr>
        <w:trPr>
          <w:trHeight w:val="26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425,157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460,966</w:t>
            </w:r>
          </w:p>
        </w:tc>
      </w:tr>
      <w:tr>
        <w:trPr>
          <w:trHeight w:val="25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14,237,008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14,494,903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and repurchase facilities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5,176,866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5,149,651</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Securitized debt</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3,468,258</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1,589,460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2,029,078</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unsecured notes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notes to subsidiary trust issuing preferred securities</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145,497</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 real estate owned</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222,965</w:t>
            </w:r>
          </w:p>
        </w:tc>
      </w:tr>
      <w:tr>
        <w:trPr>
          <w:trHeight w:val="2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to borrowers</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33,451</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loss-sharing obligations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97,579</w:t>
            </w:r>
          </w:p>
        </w:tc>
      </w:tr>
      <w:tr>
        <w:trPr>
          <w:trHeight w:val="26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281,757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281,271</w:t>
            </w:r>
          </w:p>
        </w:tc>
      </w:tr>
      <w:tr>
        <w:trPr>
          <w:trHeight w:val="25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11,595,415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11,427,750</w:t>
            </w:r>
          </w:p>
        </w:tc>
      </w:tr>
      <w:tr>
        <w:trPr>
          <w:trHeight w:val="203"/>
        </w:trPr>
        <w:tc>
          <w:tcPr>
            <w:tcW w:w="7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Arbor Realty Trust, Inc. stockholders' equity:</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cumulative, redeemable, $0.01 par value: 100,000,000 shares authorized, shares issued</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outstanding by period:</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633,683</w:t>
            </w:r>
          </w:p>
        </w:tc>
      </w:tr>
      <w:tr>
        <w:trPr>
          <w:trHeight w:val="26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Special voting preferred shares - 16,165,771 and 16,169,858 shares</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47"/>
        </w:trPr>
        <w:tc>
          <w:tcPr>
            <w:tcW w:w="73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6.375% Series D - 9,200,000 shares</w:t>
            </w: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6"/>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6.25% Series E - 5,750,000 shares</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47"/>
        </w:trPr>
        <w:tc>
          <w:tcPr>
            <w:tcW w:w="73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6.25% Series F - 11,342,000 shares</w:t>
            </w: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500,000,000 shares authorized - 186,436,159 and 195,491,855 shares issued</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outstanding</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47"/>
        </w:trPr>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2,297,464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2,454,312</w:t>
            </w:r>
          </w:p>
        </w:tc>
      </w:tr>
      <w:tr>
        <w:trPr>
          <w:trHeight w:val="26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(384,340)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(136,597)</w:t>
            </w:r>
          </w:p>
        </w:tc>
      </w:tr>
      <w:tr>
        <w:trPr>
          <w:trHeight w:val="24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Arbor Realty Trust, Inc. stockholders' equity</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2,953,353</w:t>
            </w:r>
          </w:p>
        </w:tc>
      </w:tr>
      <w:tr>
        <w:trPr>
          <w:trHeight w:val="26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113,800</w:t>
            </w:r>
          </w:p>
        </w:tc>
      </w:tr>
      <w:tr>
        <w:trPr>
          <w:trHeight w:val="25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2,641,593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3,067,153</w:t>
            </w:r>
          </w:p>
        </w:tc>
      </w:tr>
      <w:tr>
        <w:trPr>
          <w:trHeight w:val="281"/>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14,237,008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14,494,903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40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34"/>
        </w:trPr>
        <w:tc>
          <w:tcPr>
            <w:tcW w:w="49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10</w:t>
            </w:r>
          </w:p>
        </w:tc>
      </w:tr>
      <w:tr>
        <w:trPr>
          <w:trHeight w:val="604"/>
        </w:trPr>
        <w:tc>
          <w:tcPr>
            <w:tcW w:w="8120" w:type="dxa"/>
            <w:vAlign w:val="bottom"/>
            <w:gridSpan w:val="7"/>
          </w:tcPr>
          <w:p>
            <w:pPr>
              <w:jc w:val="center"/>
              <w:ind w:left="3029"/>
              <w:spacing w:after="0"/>
              <w:rPr>
                <w:sz w:val="20"/>
                <w:szCs w:val="20"/>
                <w:color w:val="auto"/>
              </w:rPr>
            </w:pPr>
            <w:r>
              <w:rPr>
                <w:rFonts w:ascii="Times New Roman" w:cs="Times New Roman" w:eastAsia="Times New Roman" w:hAnsi="Times New Roman"/>
                <w:sz w:val="18"/>
                <w:szCs w:val="18"/>
                <w:b w:val="1"/>
                <w:bCs w:val="1"/>
                <w:color w:val="auto"/>
                <w:w w:val="99"/>
              </w:rPr>
              <w:t>ARBOR REALTY TRUST, INC. AND SUBSIDIARIES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120" w:type="dxa"/>
            <w:vAlign w:val="bottom"/>
            <w:gridSpan w:val="7"/>
          </w:tcPr>
          <w:p>
            <w:pPr>
              <w:jc w:val="center"/>
              <w:ind w:left="3049"/>
              <w:spacing w:after="0"/>
              <w:rPr>
                <w:sz w:val="20"/>
                <w:szCs w:val="20"/>
                <w:color w:val="auto"/>
              </w:rPr>
            </w:pPr>
            <w:r>
              <w:rPr>
                <w:rFonts w:ascii="Times New Roman" w:cs="Times New Roman" w:eastAsia="Times New Roman" w:hAnsi="Times New Roman"/>
                <w:sz w:val="18"/>
                <w:szCs w:val="18"/>
                <w:color w:val="auto"/>
                <w:w w:val="99"/>
              </w:rPr>
              <w:t>Statement of Operations Segment Information - (Unaudited)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93"/>
        </w:trPr>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Quarter Ended September 30, 2026</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4"/>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Structured</w:t>
            </w:r>
          </w:p>
        </w:tc>
        <w:tc>
          <w:tcPr>
            <w:tcW w:w="22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49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221,921</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184,249</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w:t>
            </w: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50"/>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46,274</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56,421</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42,524</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55,506</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177,761</w:t>
            </w:r>
          </w:p>
        </w:tc>
      </w:tr>
      <w:tr>
        <w:trPr>
          <w:trHeight w:val="21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gain on real estate, loss from equity affiliates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income taxes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(83,668)</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real estate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affiliates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5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(89,902)</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(82,407)</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0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income (loss) allocated to the noncontrolling interest holders not allocated to the two reportable segments.</w:t>
      </w:r>
    </w:p>
    <w:p>
      <w:pPr>
        <w:sectPr>
          <w:pgSz w:w="11900" w:h="16838" w:orient="portrait"/>
          <w:cols w:equalWidth="0" w:num="1">
            <w:col w:w="11240"/>
          </w:cols>
          <w:pgMar w:left="320" w:top="4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6"/>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34"/>
        </w:trPr>
        <w:tc>
          <w:tcPr>
            <w:tcW w:w="32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11</w:t>
            </w:r>
          </w:p>
        </w:tc>
      </w:tr>
      <w:tr>
        <w:trPr>
          <w:trHeight w:val="604"/>
        </w:trPr>
        <w:tc>
          <w:tcPr>
            <w:tcW w:w="3260" w:type="dxa"/>
            <w:vAlign w:val="bottom"/>
          </w:tcPr>
          <w:p>
            <w:pPr>
              <w:spacing w:after="0"/>
              <w:rPr>
                <w:sz w:val="24"/>
                <w:szCs w:val="24"/>
                <w:color w:val="auto"/>
              </w:rPr>
            </w:pPr>
          </w:p>
        </w:tc>
        <w:tc>
          <w:tcPr>
            <w:tcW w:w="4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ARBOR REALTY TRUST, INC. AND SUBSIDIARIES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4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Balance Sheet Segment Information - (Unaudited)</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328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9"/>
              </w:rPr>
              <w:t>($ 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3"/>
        </w:trPr>
        <w:tc>
          <w:tcPr>
            <w:tcW w:w="3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4"/>
        </w:trPr>
        <w:tc>
          <w:tcPr>
            <w:tcW w:w="3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Structured</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9"/>
        </w:trPr>
        <w:tc>
          <w:tcPr>
            <w:tcW w:w="3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240" w:type="dxa"/>
            <w:vAlign w:val="bottom"/>
          </w:tcPr>
          <w:p>
            <w:pPr>
              <w:spacing w:after="0"/>
              <w:rPr>
                <w:sz w:val="20"/>
                <w:szCs w:val="20"/>
                <w:color w:val="auto"/>
              </w:rPr>
            </w:pPr>
          </w:p>
        </w:tc>
        <w:tc>
          <w:tcPr>
            <w:tcW w:w="1360" w:type="dxa"/>
            <w:vAlign w:val="bottom"/>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5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322,576</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439,689</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250,877</w:t>
            </w: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11,764,328</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3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236,824</w:t>
            </w: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3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156,211</w:t>
            </w: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3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491,170</w:t>
            </w: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323,247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425,157</w:t>
            </w:r>
          </w:p>
        </w:tc>
      </w:tr>
      <w:tr>
        <w:trPr>
          <w:trHeight w:val="277"/>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12,993,459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1,243,549</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14,237,008</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3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3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10,940,366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11,163,185</w:t>
            </w:r>
          </w:p>
        </w:tc>
      </w:tr>
      <w:tr>
        <w:trPr>
          <w:trHeight w:val="25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308,085</w:t>
            </w:r>
          </w:p>
        </w:tc>
      </w:tr>
      <w:tr>
        <w:trPr>
          <w:trHeight w:val="277"/>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11,158,765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436,650</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11,595,415</w:t>
            </w:r>
          </w:p>
        </w:tc>
      </w:tr>
      <w:tr>
        <w:trPr>
          <w:trHeight w:val="20"/>
        </w:trPr>
        <w:tc>
          <w:tcPr>
            <w:tcW w:w="3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405"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34"/>
        </w:trPr>
        <w:tc>
          <w:tcPr>
            <w:tcW w:w="390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October 30, 2026</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12</w:t>
            </w:r>
          </w:p>
        </w:tc>
      </w:tr>
      <w:tr>
        <w:trPr>
          <w:trHeight w:val="582"/>
        </w:trPr>
        <w:tc>
          <w:tcPr>
            <w:tcW w:w="8040" w:type="dxa"/>
            <w:vAlign w:val="bottom"/>
            <w:gridSpan w:val="8"/>
          </w:tcPr>
          <w:p>
            <w:pPr>
              <w:jc w:val="center"/>
              <w:ind w:left="3116"/>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9680" w:type="dxa"/>
            <w:vAlign w:val="bottom"/>
            <w:gridSpan w:val="11"/>
          </w:tcPr>
          <w:p>
            <w:pPr>
              <w:jc w:val="center"/>
              <w:ind w:left="1496"/>
              <w:spacing w:after="0"/>
              <w:rPr>
                <w:sz w:val="20"/>
                <w:szCs w:val="20"/>
                <w:color w:val="auto"/>
              </w:rPr>
            </w:pPr>
            <w:r>
              <w:rPr>
                <w:rFonts w:ascii="Times New Roman" w:cs="Times New Roman" w:eastAsia="Times New Roman" w:hAnsi="Times New Roman"/>
                <w:sz w:val="16"/>
                <w:szCs w:val="16"/>
                <w:color w:val="auto"/>
              </w:rPr>
              <w:t>Reconciliation of Distributable (Loss) Earnings to GAAP Net (Loss) Income - (Unaudited)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4140" w:type="dxa"/>
            <w:vAlign w:val="bottom"/>
            <w:gridSpan w:val="7"/>
          </w:tcPr>
          <w:p>
            <w:pPr>
              <w:jc w:val="center"/>
              <w:ind w:right="680"/>
              <w:spacing w:after="0"/>
              <w:rPr>
                <w:sz w:val="20"/>
                <w:szCs w:val="20"/>
                <w:color w:val="auto"/>
              </w:rPr>
            </w:pPr>
            <w:r>
              <w:rPr>
                <w:rFonts w:ascii="Times New Roman" w:cs="Times New Roman" w:eastAsia="Times New Roman" w:hAnsi="Times New Roman"/>
                <w:sz w:val="16"/>
                <w:szCs w:val="16"/>
                <w:color w:val="auto"/>
              </w:rPr>
              <w:t>($ in thousands—except share and per share data)</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85"/>
        </w:trPr>
        <w:tc>
          <w:tcPr>
            <w:tcW w:w="3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Quarter Ended September 30,</w:t>
            </w:r>
          </w:p>
        </w:tc>
        <w:tc>
          <w:tcPr>
            <w:tcW w:w="240" w:type="dxa"/>
            <w:vAlign w:val="bottom"/>
          </w:tcPr>
          <w:p>
            <w:pPr>
              <w:spacing w:after="0"/>
              <w:rPr>
                <w:sz w:val="24"/>
                <w:szCs w:val="24"/>
                <w:color w:val="auto"/>
              </w:rPr>
            </w:pPr>
          </w:p>
        </w:tc>
        <w:tc>
          <w:tcPr>
            <w:tcW w:w="296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39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common stockholders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92,852</w:t>
            </w:r>
          </w:p>
        </w:tc>
      </w:tr>
      <w:tr>
        <w:trPr>
          <w:trHeight w:val="24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w:t>
            </w: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r>
      <w:tr>
        <w:trPr>
          <w:trHeight w:val="24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mortgage servicing rights</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(34,598)</w:t>
            </w:r>
          </w:p>
        </w:tc>
      </w:tr>
      <w:tr>
        <w:trPr>
          <w:trHeight w:val="26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 benefit</w:t>
            </w: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r>
      <w:tr>
        <w:trPr>
          <w:trHeight w:val="24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and write-offs of MSRs</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59,595</w:t>
            </w:r>
          </w:p>
        </w:tc>
      </w:tr>
      <w:tr>
        <w:trPr>
          <w:trHeight w:val="26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17,240</w:t>
            </w:r>
          </w:p>
        </w:tc>
      </w:tr>
      <w:tr>
        <w:trPr>
          <w:trHeight w:val="24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6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w:t>
            </w: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27,572</w:t>
            </w:r>
          </w:p>
        </w:tc>
      </w:tr>
      <w:tr>
        <w:trPr>
          <w:trHeight w:val="24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derivative instruments, net</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6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real estate</w:t>
            </w: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w:t>
            </w:r>
          </w:p>
        </w:tc>
      </w:tr>
      <w:tr>
        <w:trPr>
          <w:trHeight w:val="250"/>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11,284</w:t>
            </w:r>
          </w:p>
        </w:tc>
      </w:tr>
      <w:tr>
        <w:trPr>
          <w:trHeight w:val="2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Distributable (loss) earnings (1)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182,334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8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 (1)</w:t>
            </w:r>
          </w:p>
        </w:tc>
        <w:tc>
          <w:tcPr>
            <w:tcW w:w="1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185,084,602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210,517,762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201,632,871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208,807,751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distributable (loss) earnings per share (1)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60" w:hanging="252"/>
        <w:spacing w:after="0" w:line="282"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the Company's option for shares of the Company's common stock on a one-for-one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presenting distributable earnings because management believes it is an important supplemental measure of the Company's operating 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The Company considers distributable earnings in determining its quarterly dividend and believes that, over time, distributable earnings is a useful indicator of the Company's dividends per share.</w:t>
      </w:r>
    </w:p>
    <w:p>
      <w:pPr>
        <w:spacing w:after="0" w:line="19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Company defines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gains/losses on the receipt of real estate from the settlement of loans and subsequent impairment losses on real estate owned prior to the sale of the real estate. The Company also adds back one-time charges such as acquisition costs and one-time gains/losses on the early extinguishment of debt and redemption of preferred stock.</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 reduces distributable earnings for realized losses in the period management determines that a loan is deemed nonrecoverable in whole or in part. Loans are deemed nonrecoverable upon the earlier of: (1) when the loan receivable is repaid, or in the case of foreclosure, when the underlying asset is sold at which time any impairments and/or cumulative depreciation expense are realized; or (2) when management determines that it is nearly certain that all amounts due will not be collected. The realized loss amount is equal to the difference between the cash received, or expected to be received, and the book value of the asset.</w:t>
      </w:r>
    </w:p>
    <w:p>
      <w:pPr>
        <w:sectPr>
          <w:pgSz w:w="11900" w:h="16838" w:orient="portrait"/>
          <w:cols w:equalWidth="0" w:num="1">
            <w:col w:w="11240"/>
          </w:cols>
          <w:pgMar w:left="320" w:top="405"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Third Quarter 2026 Results</w:t>
      </w:r>
    </w:p>
    <w:p>
      <w:pPr>
        <w:spacing w:after="0" w:line="382" w:lineRule="exact"/>
        <w:rPr>
          <w:sz w:val="20"/>
          <w:szCs w:val="20"/>
          <w:color w:val="auto"/>
        </w:rPr>
      </w:pPr>
    </w:p>
    <w:p>
      <w:pPr>
        <w:ind w:left="20"/>
        <w:spacing w:after="0"/>
        <w:tabs>
          <w:tab w:leader="none" w:pos="10480" w:val="left"/>
        </w:tabs>
        <w:rPr>
          <w:sz w:val="20"/>
          <w:szCs w:val="20"/>
          <w:color w:val="auto"/>
        </w:rPr>
      </w:pPr>
      <w:r>
        <w:rPr>
          <w:rFonts w:ascii="Times New Roman" w:cs="Times New Roman" w:eastAsia="Times New Roman" w:hAnsi="Times New Roman"/>
          <w:sz w:val="22"/>
          <w:szCs w:val="22"/>
          <w:i w:val="1"/>
          <w:iCs w:val="1"/>
          <w:color w:val="auto"/>
        </w:rPr>
        <w:t>October 30, 2026</w:t>
      </w:r>
      <w:r>
        <w:rPr>
          <w:sz w:val="20"/>
          <w:szCs w:val="20"/>
          <w:color w:val="auto"/>
        </w:rPr>
        <w:tab/>
      </w:r>
      <w:r>
        <w:rPr>
          <w:rFonts w:ascii="Times New Roman" w:cs="Times New Roman" w:eastAsia="Times New Roman" w:hAnsi="Times New Roman"/>
          <w:sz w:val="21"/>
          <w:szCs w:val="21"/>
          <w:i w:val="1"/>
          <w:iCs w:val="1"/>
          <w:color w:val="auto"/>
        </w:rPr>
        <w:t>Page 13</w:t>
      </w: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the Company's cash flows from operating activities (determined in accordance with GAAP) or a measure of its liquidity, nor is it entirely indicative of funding the Company's cash needs, including its ability to make cash distributions. The Company's calculation of distributable earnings may be different from the calculations used by other companies and, therefore, comparability may be limited.</w:t>
      </w:r>
    </w:p>
    <w:sectPr>
      <w:pgSz w:w="11900" w:h="16838" w:orient="portrait"/>
      <w:cols w:equalWidth="0" w:num="1">
        <w:col w:w="11240"/>
      </w:cols>
      <w:pgMar w:left="320" w:top="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2026-10-30T07:46:45Z</dcterms:created>
  <dcterms:modified xsi:type="dcterms:W3CDTF">2026-10-30T07:46:45Z</dcterms:modified>
</cp:coreProperties>
</file>