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39" w:lineRule="exact"/>
        <w:rPr>
          <w:sz w:val="24"/>
          <w:szCs w:val="24"/>
          <w:color w:val="auto"/>
        </w:rPr>
      </w:pPr>
    </w:p>
    <w:p>
      <w:pPr>
        <w:jc w:val="right"/>
        <w:ind w:right="399"/>
        <w:spacing w:after="0"/>
        <w:rPr>
          <w:sz w:val="20"/>
          <w:szCs w:val="20"/>
          <w:color w:val="auto"/>
        </w:rPr>
      </w:pPr>
      <w:r>
        <w:rPr>
          <w:rFonts w:ascii="Arial" w:cs="Arial" w:eastAsia="Arial" w:hAnsi="Arial"/>
          <w:sz w:val="18"/>
          <w:szCs w:val="18"/>
          <w:b w:val="1"/>
          <w:bCs w:val="1"/>
          <w:color w:val="auto"/>
        </w:rPr>
        <w:t>Filed Pursuant to Rule 424(b)(3)</w:t>
      </w:r>
    </w:p>
    <w:p>
      <w:pPr>
        <w:jc w:val="right"/>
        <w:ind w:right="399"/>
        <w:spacing w:after="0"/>
        <w:rPr>
          <w:sz w:val="20"/>
          <w:szCs w:val="20"/>
          <w:color w:val="auto"/>
        </w:rPr>
      </w:pPr>
      <w:r>
        <w:rPr>
          <w:rFonts w:ascii="Arial" w:cs="Arial" w:eastAsia="Arial" w:hAnsi="Arial"/>
          <w:sz w:val="18"/>
          <w:szCs w:val="18"/>
          <w:b w:val="1"/>
          <w:bCs w:val="1"/>
          <w:color w:val="auto"/>
        </w:rPr>
        <w:t>Registration No. 333-257494</w:t>
      </w:r>
    </w:p>
    <w:p>
      <w:pPr>
        <w:spacing w:after="0" w:line="178"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2103120</wp:posOffset>
            </wp:positionH>
            <wp:positionV relativeFrom="paragraph">
              <wp:posOffset>68580</wp:posOffset>
            </wp:positionV>
            <wp:extent cx="260604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604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4020"/>
        <w:spacing w:after="0"/>
        <w:rPr>
          <w:sz w:val="20"/>
          <w:szCs w:val="20"/>
          <w:color w:val="auto"/>
        </w:rPr>
      </w:pPr>
      <w:r>
        <w:rPr>
          <w:rFonts w:ascii="Arial" w:cs="Arial" w:eastAsia="Arial" w:hAnsi="Arial"/>
          <w:sz w:val="25"/>
          <w:szCs w:val="25"/>
          <w:b w:val="1"/>
          <w:bCs w:val="1"/>
          <w:color w:val="auto"/>
        </w:rPr>
        <w:t>OFFER TO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88900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7" w:lineRule="exact"/>
        <w:rPr>
          <w:sz w:val="24"/>
          <w:szCs w:val="24"/>
          <w:color w:val="auto"/>
        </w:rPr>
      </w:pPr>
    </w:p>
    <w:p>
      <w:pPr>
        <w:jc w:val="center"/>
        <w:ind w:right="-820"/>
        <w:spacing w:after="0"/>
        <w:rPr>
          <w:sz w:val="20"/>
          <w:szCs w:val="20"/>
          <w:color w:val="auto"/>
        </w:rPr>
      </w:pPr>
      <w:r>
        <w:rPr>
          <w:rFonts w:ascii="Arial" w:cs="Arial" w:eastAsia="Arial" w:hAnsi="Arial"/>
          <w:sz w:val="17"/>
          <w:szCs w:val="17"/>
          <w:b w:val="1"/>
          <w:bCs w:val="1"/>
          <w:color w:val="auto"/>
        </w:rPr>
        <w:t>$165,000,000 aggregate principal amount of 5.00% Senior Notes due 2026</w:t>
      </w:r>
    </w:p>
    <w:p>
      <w:pPr>
        <w:spacing w:after="0" w:line="5" w:lineRule="exact"/>
        <w:rPr>
          <w:sz w:val="24"/>
          <w:szCs w:val="24"/>
          <w:color w:val="auto"/>
        </w:rPr>
      </w:pPr>
    </w:p>
    <w:p>
      <w:pPr>
        <w:jc w:val="center"/>
        <w:ind w:right="-820"/>
        <w:spacing w:after="0"/>
        <w:rPr>
          <w:sz w:val="20"/>
          <w:szCs w:val="20"/>
          <w:color w:val="auto"/>
        </w:rPr>
      </w:pPr>
      <w:r>
        <w:rPr>
          <w:rFonts w:ascii="Arial" w:cs="Arial" w:eastAsia="Arial" w:hAnsi="Arial"/>
          <w:sz w:val="17"/>
          <w:szCs w:val="17"/>
          <w:b w:val="1"/>
          <w:bCs w:val="1"/>
          <w:color w:val="auto"/>
        </w:rPr>
        <w:t>that have been registered under the Securities Act of 1933, as amended,</w:t>
      </w:r>
    </w:p>
    <w:p>
      <w:pPr>
        <w:ind w:left="1800"/>
        <w:spacing w:after="0"/>
        <w:rPr>
          <w:sz w:val="20"/>
          <w:szCs w:val="20"/>
          <w:color w:val="auto"/>
        </w:rPr>
      </w:pPr>
      <w:r>
        <w:rPr>
          <w:rFonts w:ascii="Arial" w:cs="Arial" w:eastAsia="Arial" w:hAnsi="Arial"/>
          <w:sz w:val="15"/>
          <w:szCs w:val="15"/>
          <w:b w:val="1"/>
          <w:bCs w:val="1"/>
          <w:color w:val="auto"/>
        </w:rPr>
        <w:t>for $165,000,000 aggregate principal amount of outstanding unregistered 5.00% Senior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90170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3"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We are offering to exchange 5.00% Senior Notes due 2026 that have been registered under the Securities Act</w:t>
      </w:r>
    </w:p>
    <w:p>
      <w:pPr>
        <w:spacing w:after="0" w:line="13"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which we refer to in this prospectus as the “</w:t>
      </w:r>
      <w:r>
        <w:rPr>
          <w:rFonts w:ascii="Arial" w:cs="Arial" w:eastAsia="Arial" w:hAnsi="Arial"/>
          <w:sz w:val="17"/>
          <w:szCs w:val="17"/>
          <w:u w:val="single" w:color="auto"/>
          <w:color w:val="auto"/>
        </w:rPr>
        <w:t>New Notes</w:t>
      </w:r>
      <w:r>
        <w:rPr>
          <w:rFonts w:ascii="Arial" w:cs="Arial" w:eastAsia="Arial" w:hAnsi="Arial"/>
          <w:sz w:val="17"/>
          <w:szCs w:val="17"/>
          <w:color w:val="auto"/>
        </w:rPr>
        <w:t>,” for</w:t>
      </w:r>
    </w:p>
    <w:p>
      <w:pPr>
        <w:ind w:left="1260"/>
        <w:spacing w:after="0"/>
        <w:rPr>
          <w:sz w:val="20"/>
          <w:szCs w:val="20"/>
          <w:color w:val="auto"/>
        </w:rPr>
      </w:pPr>
      <w:r>
        <w:rPr>
          <w:rFonts w:ascii="Arial" w:cs="Arial" w:eastAsia="Arial" w:hAnsi="Arial"/>
          <w:sz w:val="16"/>
          <w:szCs w:val="16"/>
          <w:color w:val="auto"/>
        </w:rPr>
        <w:t>$165,000,000 aggregate principal amount of our outstanding unregistered 5.00% Senior Notes due 2026 that we</w:t>
      </w:r>
    </w:p>
    <w:p>
      <w:pPr>
        <w:spacing w:after="0" w:line="5"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issued in a private placement on April 30, 2021, which we refer to in this prospectus as the “</w:t>
      </w:r>
      <w:r>
        <w:rPr>
          <w:rFonts w:ascii="Arial" w:cs="Arial" w:eastAsia="Arial" w:hAnsi="Arial"/>
          <w:sz w:val="16"/>
          <w:szCs w:val="16"/>
          <w:u w:val="single" w:color="auto"/>
          <w:color w:val="auto"/>
        </w:rPr>
        <w:t>Old Notes</w:t>
      </w:r>
      <w:r>
        <w:rPr>
          <w:rFonts w:ascii="Arial" w:cs="Arial" w:eastAsia="Arial" w:hAnsi="Arial"/>
          <w:sz w:val="16"/>
          <w:szCs w:val="16"/>
          <w:color w:val="auto"/>
        </w:rPr>
        <w:t>.” We are</w:t>
      </w:r>
    </w:p>
    <w:p>
      <w:pPr>
        <w:spacing w:after="0" w:line="5"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making this offer to exchange the Old Notes for the New Notes to satisfy our obligations under the registration</w:t>
      </w:r>
    </w:p>
    <w:p>
      <w:pPr>
        <w:ind w:left="1260"/>
        <w:spacing w:after="0" w:line="238" w:lineRule="auto"/>
        <w:rPr>
          <w:sz w:val="20"/>
          <w:szCs w:val="20"/>
          <w:color w:val="auto"/>
        </w:rPr>
      </w:pPr>
      <w:r>
        <w:rPr>
          <w:rFonts w:ascii="Arial" w:cs="Arial" w:eastAsia="Arial" w:hAnsi="Arial"/>
          <w:sz w:val="17"/>
          <w:szCs w:val="17"/>
          <w:color w:val="auto"/>
        </w:rPr>
        <w:t>rights agreement that we entered into with certain of the purchasers of the Old Notes in connection with our</w:t>
      </w:r>
    </w:p>
    <w:p>
      <w:pPr>
        <w:ind w:left="1260"/>
        <w:spacing w:after="0"/>
        <w:rPr>
          <w:sz w:val="20"/>
          <w:szCs w:val="20"/>
          <w:color w:val="auto"/>
        </w:rPr>
      </w:pPr>
      <w:r>
        <w:rPr>
          <w:rFonts w:ascii="Arial" w:cs="Arial" w:eastAsia="Arial" w:hAnsi="Arial"/>
          <w:sz w:val="17"/>
          <w:szCs w:val="17"/>
          <w:color w:val="auto"/>
        </w:rPr>
        <w:t>issuance of the Old Notes to those purchasers.</w:t>
      </w:r>
    </w:p>
    <w:p>
      <w:pPr>
        <w:spacing w:after="0" w:line="34" w:lineRule="exact"/>
        <w:rPr>
          <w:sz w:val="24"/>
          <w:szCs w:val="24"/>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The exchange offer will expire at 11:59 p.m., New York City time, on August 26, 2021, unless extended in our sole and absolute discretion.</w:t>
      </w:r>
    </w:p>
    <w:p>
      <w:pPr>
        <w:spacing w:after="0" w:line="13" w:lineRule="exact"/>
        <w:rPr>
          <w:sz w:val="24"/>
          <w:szCs w:val="24"/>
          <w:color w:val="auto"/>
        </w:rPr>
      </w:pPr>
    </w:p>
    <w:p>
      <w:pPr>
        <w:ind w:left="1260" w:right="459" w:firstLine="360"/>
        <w:spacing w:after="0"/>
        <w:rPr>
          <w:sz w:val="20"/>
          <w:szCs w:val="20"/>
          <w:color w:val="auto"/>
        </w:rPr>
      </w:pPr>
      <w:r>
        <w:rPr>
          <w:rFonts w:ascii="Arial" w:cs="Arial" w:eastAsia="Arial" w:hAnsi="Arial"/>
          <w:sz w:val="17"/>
          <w:szCs w:val="17"/>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28" w:lineRule="exact"/>
        <w:rPr>
          <w:sz w:val="24"/>
          <w:szCs w:val="24"/>
          <w:color w:val="auto"/>
        </w:rPr>
      </w:pPr>
    </w:p>
    <w:p>
      <w:pPr>
        <w:ind w:left="1260" w:right="479" w:firstLine="360"/>
        <w:spacing w:after="0" w:line="236" w:lineRule="auto"/>
        <w:rPr>
          <w:sz w:val="20"/>
          <w:szCs w:val="20"/>
          <w:color w:val="auto"/>
        </w:rPr>
      </w:pPr>
      <w:r>
        <w:rPr>
          <w:rFonts w:ascii="Arial" w:cs="Arial" w:eastAsia="Arial" w:hAnsi="Arial"/>
          <w:sz w:val="17"/>
          <w:szCs w:val="17"/>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we entered into with certain of the purchasers of the Old Notes and do not have the right to additional interest under the circumstances described in the registration rights agreement relating to our fulfillment of our registration obligations. The New Notes evidence the same debt as the Old Notes and are governed by the same indenture under which the Old Notes were issued.</w:t>
      </w:r>
    </w:p>
    <w:p>
      <w:pPr>
        <w:spacing w:after="0" w:line="28" w:lineRule="exact"/>
        <w:rPr>
          <w:sz w:val="24"/>
          <w:szCs w:val="24"/>
          <w:color w:val="auto"/>
        </w:rPr>
      </w:pPr>
    </w:p>
    <w:p>
      <w:pPr>
        <w:ind w:left="1260" w:right="479" w:firstLine="360"/>
        <w:spacing w:after="0"/>
        <w:rPr>
          <w:sz w:val="20"/>
          <w:szCs w:val="20"/>
          <w:color w:val="auto"/>
        </w:rPr>
      </w:pPr>
      <w:r>
        <w:rPr>
          <w:rFonts w:ascii="Arial" w:cs="Arial" w:eastAsia="Arial" w:hAnsi="Arial"/>
          <w:sz w:val="17"/>
          <w:szCs w:val="17"/>
          <w:color w:val="auto"/>
        </w:rPr>
        <w:t>There is no established trading market for the Old Notes or the New Notes and an active trading market may not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28" w:lineRule="exact"/>
        <w:rPr>
          <w:sz w:val="24"/>
          <w:szCs w:val="24"/>
          <w:color w:val="auto"/>
        </w:rPr>
      </w:pPr>
    </w:p>
    <w:p>
      <w:pPr>
        <w:ind w:left="1260" w:right="499" w:firstLine="360"/>
        <w:spacing w:after="0"/>
        <w:rPr>
          <w:sz w:val="20"/>
          <w:szCs w:val="20"/>
          <w:color w:val="auto"/>
        </w:rPr>
      </w:pPr>
      <w:r>
        <w:rPr>
          <w:rFonts w:ascii="Arial" w:cs="Arial" w:eastAsia="Arial" w:hAnsi="Arial"/>
          <w:sz w:val="17"/>
          <w:szCs w:val="17"/>
          <w:color w:val="auto"/>
        </w:rPr>
        <w:t>You may withdraw your tender of Old Notes at any time prior to 5:00 p.m., New York City time, on the expiration date of the exchange offer. We will exchange all of the outstanding Old Notes that are validly tendered and not validly withdrawn prior to the expiration of the exchange offer for an equal principal amount of New Notes.</w:t>
      </w:r>
    </w:p>
    <w:p>
      <w:pPr>
        <w:spacing w:after="0" w:line="28" w:lineRule="exact"/>
        <w:rPr>
          <w:sz w:val="24"/>
          <w:szCs w:val="24"/>
          <w:color w:val="auto"/>
        </w:rPr>
      </w:pPr>
    </w:p>
    <w:p>
      <w:pPr>
        <w:ind w:left="1260" w:right="659" w:firstLine="360"/>
        <w:spacing w:after="0" w:line="237" w:lineRule="auto"/>
        <w:rPr>
          <w:sz w:val="20"/>
          <w:szCs w:val="20"/>
          <w:color w:val="auto"/>
        </w:rPr>
      </w:pPr>
      <w:r>
        <w:rPr>
          <w:rFonts w:ascii="Arial" w:cs="Arial" w:eastAsia="Arial" w:hAnsi="Arial"/>
          <w:sz w:val="17"/>
          <w:szCs w:val="17"/>
          <w:color w:val="auto"/>
        </w:rPr>
        <w:t>Each broker- 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w:t>
      </w:r>
      <w:r>
        <w:rPr>
          <w:rFonts w:ascii="Arial" w:cs="Arial" w:eastAsia="Arial" w:hAnsi="Arial"/>
          <w:sz w:val="17"/>
          <w:szCs w:val="17"/>
          <w:u w:val="single" w:color="auto"/>
          <w:color w:val="auto"/>
        </w:rPr>
        <w:t>Plan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Distribution</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2" w:lineRule="exact"/>
        <w:rPr>
          <w:sz w:val="24"/>
          <w:szCs w:val="24"/>
          <w:color w:val="auto"/>
        </w:rPr>
      </w:pPr>
    </w:p>
    <w:p>
      <w:pPr>
        <w:ind w:left="1260" w:right="439" w:firstLine="360"/>
        <w:spacing w:after="0" w:line="242"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Investing in our securities involves a high degree of risk. See </w:t>
      </w:r>
      <w:r>
        <w:rPr>
          <w:rFonts w:ascii="Arial" w:cs="Arial" w:eastAsia="Arial" w:hAnsi="Arial"/>
          <w:sz w:val="17"/>
          <w:szCs w:val="17"/>
          <w:color w:val="auto"/>
        </w:rPr>
        <w:t>“</w:t>
      </w:r>
      <w:r>
        <w:rPr>
          <w:rFonts w:ascii="Arial" w:cs="Arial" w:eastAsia="Arial" w:hAnsi="Arial"/>
          <w:sz w:val="17"/>
          <w:szCs w:val="17"/>
          <w:u w:val="single" w:color="auto"/>
          <w:color w:val="auto"/>
        </w:rPr>
        <w:t>Risk Factors</w:t>
      </w:r>
      <w:r>
        <w:rPr>
          <w:rFonts w:ascii="Arial" w:cs="Arial" w:eastAsia="Arial" w:hAnsi="Arial"/>
          <w:sz w:val="17"/>
          <w:szCs w:val="17"/>
          <w:color w:val="auto"/>
        </w:rPr>
        <w:t>”</w:t>
      </w:r>
      <w:r>
        <w:rPr>
          <w:rFonts w:ascii="Arial" w:cs="Arial" w:eastAsia="Arial" w:hAnsi="Arial"/>
          <w:sz w:val="17"/>
          <w:szCs w:val="17"/>
          <w:b w:val="1"/>
          <w:bCs w:val="1"/>
          <w:color w:val="auto"/>
        </w:rPr>
        <w:t xml:space="preserve"> beginning on page </w:t>
      </w:r>
      <w:hyperlink w:anchor="page11">
        <w:r>
          <w:rPr>
            <w:rFonts w:ascii="Arial" w:cs="Arial" w:eastAsia="Arial" w:hAnsi="Arial"/>
            <w:sz w:val="17"/>
            <w:szCs w:val="17"/>
            <w:b w:val="1"/>
            <w:bCs w:val="1"/>
            <w:u w:val="single" w:color="auto"/>
            <w:color w:val="0000EE"/>
          </w:rPr>
          <w:t>8</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xml:space="preserve">of this prospectus and beginning on page 14 of our </w:t>
      </w:r>
      <w:hyperlink r:id="rId12">
        <w:r>
          <w:rPr>
            <w:rFonts w:ascii="Arial" w:cs="Arial" w:eastAsia="Arial" w:hAnsi="Arial"/>
            <w:sz w:val="17"/>
            <w:szCs w:val="17"/>
            <w:b w:val="1"/>
            <w:bCs w:val="1"/>
            <w:u w:val="single" w:color="auto"/>
            <w:color w:val="0000EE"/>
          </w:rPr>
          <w:t>Annual Report on Form 10-K for the year ended December 31, 2020</w:t>
        </w:r>
      </w:hyperlink>
      <w:r>
        <w:rPr>
          <w:rFonts w:ascii="Arial" w:cs="Arial" w:eastAsia="Arial" w:hAnsi="Arial"/>
          <w:sz w:val="17"/>
          <w:szCs w:val="17"/>
          <w:b w:val="1"/>
          <w:bCs w:val="1"/>
          <w:color w:val="auto"/>
        </w:rPr>
        <w:t>, and the other reports filed by us with the Securities and Exchange Commission and incorporated by reference into this prospectus.</w:t>
      </w:r>
    </w:p>
    <w:p>
      <w:pPr>
        <w:spacing w:after="0" w:line="22" w:lineRule="exact"/>
        <w:rPr>
          <w:sz w:val="20"/>
          <w:szCs w:val="20"/>
          <w:color w:val="auto"/>
        </w:rPr>
      </w:pPr>
    </w:p>
    <w:p>
      <w:pPr>
        <w:ind w:left="1260" w:right="479" w:firstLine="360"/>
        <w:spacing w:after="0" w:line="247"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67945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3"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The date of this prospectus is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129540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374015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gridSpan w:val="4"/>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80" w:type="dxa"/>
            <w:vAlign w:val="bottom"/>
            <w:gridSpan w:val="15"/>
            <w:shd w:val="clear" w:color="auto" w:fill="CCEEFF"/>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ABOUT THIS PROSPECTUS</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2</w:t>
              </w:r>
            </w:hyperlink>
          </w:p>
        </w:tc>
        <w:tc>
          <w:tcPr>
            <w:tcW w:w="60" w:type="dxa"/>
            <w:vAlign w:val="bottom"/>
            <w:shd w:val="clear" w:color="auto" w:fill="CCEEFF"/>
          </w:tcPr>
          <w:p>
            <w:pPr>
              <w:spacing w:after="0"/>
              <w:rPr>
                <w:sz w:val="18"/>
                <w:szCs w:val="18"/>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CAUTIONARY NOTE REGARDING FORWARD-LOOKING STATEMENTS</w:t>
              </w:r>
            </w:hyperlink>
          </w:p>
        </w:tc>
        <w:tc>
          <w:tcPr>
            <w:tcW w:w="260" w:type="dxa"/>
            <w:vAlign w:val="bottom"/>
            <w:gridSpan w:val="3"/>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2</w:t>
              </w:r>
            </w:hyperlink>
          </w:p>
        </w:tc>
        <w:tc>
          <w:tcPr>
            <w:tcW w:w="60" w:type="dxa"/>
            <w:vAlign w:val="bottom"/>
          </w:tcPr>
          <w:p>
            <w:pPr>
              <w:spacing w:after="0"/>
              <w:rPr>
                <w:sz w:val="18"/>
                <w:szCs w:val="18"/>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7880" w:type="dxa"/>
            <w:vAlign w:val="bottom"/>
            <w:gridSpan w:val="15"/>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60" w:type="dxa"/>
            <w:vAlign w:val="bottom"/>
            <w:shd w:val="clear" w:color="auto" w:fill="CCEEFF"/>
          </w:tcPr>
          <w:p>
            <w:pPr>
              <w:spacing w:after="0"/>
              <w:rPr>
                <w:sz w:val="18"/>
                <w:szCs w:val="18"/>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6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640" w:type="dxa"/>
            <w:vAlign w:val="bottom"/>
            <w:gridSpan w:val="5"/>
            <w:shd w:val="clear" w:color="auto" w:fill="CCEEFF"/>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USE OF PROCEEDS</w:t>
              </w:r>
            </w:hyperlink>
          </w:p>
        </w:tc>
        <w:tc>
          <w:tcPr>
            <w:tcW w:w="6240" w:type="dxa"/>
            <w:vAlign w:val="bottom"/>
            <w:gridSpan w:val="10"/>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THE EXCHANGE OFFER</w:t>
              </w:r>
            </w:hyperlink>
          </w:p>
        </w:tc>
        <w:tc>
          <w:tcPr>
            <w:tcW w:w="26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2560" w:type="dxa"/>
            <w:vAlign w:val="bottom"/>
            <w:gridSpan w:val="9"/>
            <w:shd w:val="clear" w:color="auto" w:fill="CCEEFF"/>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DESCRIPTION OF THE NOTES</w:t>
              </w:r>
            </w:hyperlink>
          </w:p>
        </w:tc>
        <w:tc>
          <w:tcPr>
            <w:tcW w:w="5320" w:type="dxa"/>
            <w:vAlign w:val="bottom"/>
            <w:gridSpan w:val="6"/>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BOOK-ENTRY, DELIVERY AND FORM</w:t>
              </w:r>
            </w:hyperlink>
          </w:p>
        </w:tc>
        <w:tc>
          <w:tcPr>
            <w:tcW w:w="26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4060" w:type="dxa"/>
            <w:vAlign w:val="bottom"/>
            <w:gridSpan w:val="12"/>
            <w:shd w:val="clear" w:color="auto" w:fill="CCEEFF"/>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U.S. FEDERAL INCOME TAX CONSIDERATIONS</w:t>
              </w:r>
            </w:hyperlink>
          </w:p>
        </w:tc>
        <w:tc>
          <w:tcPr>
            <w:tcW w:w="3820" w:type="dxa"/>
            <w:vAlign w:val="bottom"/>
            <w:gridSpan w:val="3"/>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406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PLAN OF DISTRIBUTION</w:t>
              </w:r>
            </w:hyperlink>
          </w:p>
        </w:tc>
        <w:tc>
          <w:tcPr>
            <w:tcW w:w="3820" w:type="dxa"/>
            <w:vAlign w:val="bottom"/>
            <w:gridSpan w:val="3"/>
          </w:tcPr>
          <w:p>
            <w:pPr>
              <w:spacing w:after="0"/>
              <w:rPr>
                <w:sz w:val="19"/>
                <w:szCs w:val="19"/>
                <w:color w:val="auto"/>
              </w:rPr>
            </w:pPr>
          </w:p>
        </w:tc>
        <w:tc>
          <w:tcPr>
            <w:tcW w:w="26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1500" w:type="dxa"/>
            <w:vAlign w:val="bottom"/>
            <w:gridSpan w:val="4"/>
            <w:shd w:val="clear" w:color="auto" w:fill="CCEEFF"/>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LEGAL MATTERS</w:t>
              </w:r>
            </w:hyperlink>
          </w:p>
        </w:tc>
        <w:tc>
          <w:tcPr>
            <w:tcW w:w="6380" w:type="dxa"/>
            <w:vAlign w:val="bottom"/>
            <w:gridSpan w:val="11"/>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50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6380" w:type="dxa"/>
            <w:vAlign w:val="bottom"/>
            <w:gridSpan w:val="11"/>
          </w:tcPr>
          <w:p>
            <w:pPr>
              <w:spacing w:after="0"/>
              <w:rPr>
                <w:sz w:val="19"/>
                <w:szCs w:val="19"/>
                <w:color w:val="auto"/>
              </w:rPr>
            </w:pPr>
          </w:p>
        </w:tc>
        <w:tc>
          <w:tcPr>
            <w:tcW w:w="26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6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3940" w:type="dxa"/>
            <w:vAlign w:val="bottom"/>
            <w:gridSpan w:val="11"/>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3940" w:type="dxa"/>
            <w:vAlign w:val="bottom"/>
            <w:gridSpan w:val="4"/>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6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INCORPORATION OF CERTAIN DOCUMENTS BY REFERENCE</w:t>
              </w:r>
            </w:hyperlink>
          </w:p>
        </w:tc>
        <w:tc>
          <w:tcPr>
            <w:tcW w:w="26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60" w:type="dxa"/>
            <w:vAlign w:val="bottom"/>
          </w:tcPr>
          <w:p>
            <w:pPr>
              <w:spacing w:after="0"/>
              <w:rPr>
                <w:sz w:val="19"/>
                <w:szCs w:val="19"/>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-2365375</wp:posOffset>
            </wp:positionV>
            <wp:extent cx="5006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This prospectus is a part of a registration statement that we have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xml:space="preserve"> ”)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122"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We are providing this prospectus to holders of Old Notes in connection with our offer to exchange Old Notes for New Notes. We are not making this exchange offer in any jurisdiction where the exchange offer is not permitted.</w:t>
      </w:r>
    </w:p>
    <w:p>
      <w:pPr>
        <w:spacing w:after="0" w:line="11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the accompanying exchange offer transmittal documents filed by us with the SEC. We have not authorized any other person to provide you with any other information. We take no responsibility for, and provide no assurance as to the reliability of, any other information that others may give you.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99"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11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Each broker- 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w:t>
      </w:r>
      <w:r>
        <w:rPr>
          <w:rFonts w:ascii="Arial" w:cs="Arial" w:eastAsia="Arial" w:hAnsi="Arial"/>
          <w:sz w:val="17"/>
          <w:szCs w:val="17"/>
          <w:u w:val="single" w:color="auto"/>
          <w:color w:val="auto"/>
        </w:rPr>
        <w:t>Plan of Distribution</w:t>
      </w:r>
      <w:r>
        <w:rPr>
          <w:rFonts w:ascii="Arial" w:cs="Arial" w:eastAsia="Arial" w:hAnsi="Arial"/>
          <w:sz w:val="17"/>
          <w:szCs w:val="17"/>
          <w:color w:val="auto"/>
        </w:rPr>
        <w:t>.”</w:t>
      </w:r>
    </w:p>
    <w:p>
      <w:pPr>
        <w:spacing w:after="0" w:line="113" w:lineRule="exact"/>
        <w:rPr>
          <w:sz w:val="20"/>
          <w:szCs w:val="20"/>
          <w:color w:val="auto"/>
        </w:rPr>
      </w:pPr>
    </w:p>
    <w:p>
      <w:pPr>
        <w:jc w:val="both"/>
        <w:ind w:left="1260" w:right="599" w:firstLine="360"/>
        <w:spacing w:after="0" w:line="261" w:lineRule="auto"/>
        <w:rPr>
          <w:sz w:val="20"/>
          <w:szCs w:val="20"/>
          <w:color w:val="auto"/>
        </w:rPr>
      </w:pPr>
      <w:r>
        <w:rPr>
          <w:rFonts w:ascii="Arial" w:cs="Arial" w:eastAsia="Arial" w:hAnsi="Arial"/>
          <w:sz w:val="18"/>
          <w:szCs w:val="18"/>
          <w:color w:val="auto"/>
        </w:rPr>
        <w:t>References in this prospectus to “</w:t>
      </w:r>
      <w:r>
        <w:rPr>
          <w:rFonts w:ascii="Arial" w:cs="Arial" w:eastAsia="Arial" w:hAnsi="Arial"/>
          <w:sz w:val="18"/>
          <w:szCs w:val="18"/>
          <w:u w:val="single" w:color="auto"/>
          <w:color w:val="auto"/>
        </w:rPr>
        <w:t>Arbor</w:t>
      </w:r>
      <w:r>
        <w:rPr>
          <w:rFonts w:ascii="Arial" w:cs="Arial" w:eastAsia="Arial" w:hAnsi="Arial"/>
          <w:sz w:val="18"/>
          <w:szCs w:val="18"/>
          <w:color w:val="auto"/>
        </w:rPr>
        <w:t>,” the “</w:t>
      </w:r>
      <w:r>
        <w:rPr>
          <w:rFonts w:ascii="Arial" w:cs="Arial" w:eastAsia="Arial" w:hAnsi="Arial"/>
          <w:sz w:val="18"/>
          <w:szCs w:val="18"/>
          <w:u w:val="single" w:color="auto"/>
          <w:color w:val="auto"/>
        </w:rPr>
        <w:t>Company</w:t>
      </w:r>
      <w:r>
        <w:rPr>
          <w:rFonts w:ascii="Arial" w:cs="Arial" w:eastAsia="Arial" w:hAnsi="Arial"/>
          <w:sz w:val="18"/>
          <w:szCs w:val="18"/>
          <w:color w:val="auto"/>
        </w:rPr>
        <w:t>,” “we,” “our” and “us” refer to Arbor Realty Trust, Inc. and its subsidiaries, unless the context otherwise requires.</w:t>
      </w:r>
    </w:p>
    <w:p>
      <w:pPr>
        <w:spacing w:after="0" w:line="16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left="1260" w:right="579" w:firstLine="360"/>
        <w:spacing w:after="0" w:line="270" w:lineRule="auto"/>
        <w:rPr>
          <w:sz w:val="20"/>
          <w:szCs w:val="20"/>
          <w:color w:val="auto"/>
        </w:rPr>
      </w:pPr>
      <w:r>
        <w:rPr>
          <w:rFonts w:ascii="Arial" w:cs="Arial" w:eastAsia="Arial" w:hAnsi="Arial"/>
          <w:sz w:val="17"/>
          <w:szCs w:val="17"/>
          <w:color w:val="auto"/>
        </w:rPr>
        <w:t>The information contained in this prospectus is not a complete description of our business or the risks associated with an investment in us. We urge you to carefully review and consider the various disclosures made by us in this prospectus, including the documents incorporated by reference herein.</w:t>
      </w:r>
    </w:p>
    <w:p>
      <w:pPr>
        <w:spacing w:after="0" w:line="96"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This prospectus contains certain “forward- looking statements” within the meaning of the Private Securities Litigation Reform Act of 1995. Such forward-looking statements relate to, among other things, the operating performance of our investments and financing needs. We use words such as “anticipate,” “expect,” “believe,” “intend,” “should,” “could,” “will,” “may” and similar expressions to identify forward-looking statements, although not all forward- looking statements include these words. Forward- looking statements are based on certain assumptions, discuss future expectations, describe future plans and strategies, contain projections of results of operations or of financial condition or state other forward-looking information. Our ability to predict results or the actual effect of future plans or strategies is inherently uncertain. These forward-looking statements involve risks, uncertainties and other factors that may cause our actual results in future periods to differ materially from forecasted results. Factors that could have a material adverse effect on our operations and future prospects include, but are not limited to:</w:t>
      </w:r>
    </w:p>
    <w:p>
      <w:pPr>
        <w:spacing w:after="0" w:line="78" w:lineRule="exact"/>
        <w:rPr>
          <w:sz w:val="20"/>
          <w:szCs w:val="20"/>
          <w:color w:val="auto"/>
        </w:rPr>
      </w:pPr>
    </w:p>
    <w:p>
      <w:pPr>
        <w:ind w:left="1800" w:right="41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economic conditions generally, and the real estate market specifically, in particular, due to the uncertainties created by the novel coronavirus (“</w:t>
      </w:r>
      <w:r>
        <w:rPr>
          <w:rFonts w:ascii="Arial" w:cs="Arial" w:eastAsia="Arial" w:hAnsi="Arial"/>
          <w:sz w:val="18"/>
          <w:szCs w:val="18"/>
          <w:u w:val="single" w:color="auto"/>
          <w:color w:val="auto"/>
        </w:rPr>
        <w:t>COVID-19</w:t>
      </w:r>
      <w:r>
        <w:rPr>
          <w:rFonts w:ascii="Arial" w:cs="Arial" w:eastAsia="Arial" w:hAnsi="Arial"/>
          <w:sz w:val="18"/>
          <w:szCs w:val="18"/>
          <w:color w:val="auto"/>
        </w:rPr>
        <w:t>”) pandemic;</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 results of operations and financial condition;</w:t>
      </w: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11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status with government-sponsored enterprises affecting our ability to originate loans through such programs;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quality and size of the investment pipeline and the rate at which we can invest our cash;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in the value of the collateral underlying our loans and investments;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and state laws and regulations, including changes in tax laws;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and cost of capital for future investments;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44"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Readers are cautioned not to place undue reliance on any of these forward-looking statements, which reflect our management’s views as of the date of the report containing such statements incorporated herein by reference or as of the date of this prospectus with respect to statements that are expressly stated herein. The factors noted above could cause our actual results to differ significantly from those contained in any forward-looking statement.</w:t>
      </w:r>
    </w:p>
    <w:p>
      <w:pPr>
        <w:spacing w:after="0" w:line="120" w:lineRule="exact"/>
        <w:rPr>
          <w:sz w:val="20"/>
          <w:szCs w:val="20"/>
          <w:color w:val="auto"/>
        </w:rPr>
      </w:pPr>
    </w:p>
    <w:p>
      <w:pPr>
        <w:ind w:left="1260" w:right="559" w:firstLine="360"/>
        <w:spacing w:after="0" w:line="272" w:lineRule="auto"/>
        <w:rPr>
          <w:rFonts w:ascii="Arial" w:cs="Arial" w:eastAsia="Arial" w:hAnsi="Arial"/>
          <w:sz w:val="17"/>
          <w:szCs w:val="17"/>
          <w:color w:val="0000EE"/>
        </w:rPr>
      </w:pPr>
      <w:r>
        <w:rPr>
          <w:rFonts w:ascii="Arial" w:cs="Arial" w:eastAsia="Arial" w:hAnsi="Arial"/>
          <w:sz w:val="17"/>
          <w:szCs w:val="17"/>
          <w:color w:val="auto"/>
        </w:rPr>
        <w:t xml:space="preserve">Additional information regarding these and other risks and uncertainties we face is contained in our </w:t>
      </w:r>
      <w:hyperlink r:id="rId12">
        <w:r>
          <w:rPr>
            <w:rFonts w:ascii="Arial" w:cs="Arial" w:eastAsia="Arial" w:hAnsi="Arial"/>
            <w:sz w:val="17"/>
            <w:szCs w:val="17"/>
            <w:u w:val="single" w:color="auto"/>
            <w:color w:val="0000EE"/>
          </w:rPr>
          <w:t>Annual Report on Form 10-K for the year ended December 31, 2020 filed with the SEC on February 19,</w:t>
        </w:r>
      </w:hyperlink>
      <w:r>
        <w:rPr>
          <w:rFonts w:ascii="Arial" w:cs="Arial" w:eastAsia="Arial" w:hAnsi="Arial"/>
          <w:sz w:val="17"/>
          <w:szCs w:val="17"/>
          <w:u w:val="single" w:color="auto"/>
          <w:color w:val="0000EE"/>
        </w:rPr>
        <w:t xml:space="preserve"> </w:t>
      </w:r>
      <w:hyperlink r:id="rId19">
        <w:r>
          <w:rPr>
            <w:rFonts w:ascii="Arial" w:cs="Arial" w:eastAsia="Arial" w:hAnsi="Arial"/>
            <w:sz w:val="17"/>
            <w:szCs w:val="17"/>
            <w:u w:val="single" w:color="auto"/>
            <w:color w:val="0000EE"/>
          </w:rPr>
          <w:t>2021</w:t>
        </w:r>
        <w:r>
          <w:rPr>
            <w:rFonts w:ascii="Arial" w:cs="Arial" w:eastAsia="Arial" w:hAnsi="Arial"/>
            <w:sz w:val="17"/>
            <w:szCs w:val="17"/>
            <w:color w:val="000000"/>
          </w:rPr>
          <w:t>, Item 1A under “Risk Factors” and elsewhere in our</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Quarterly Report on Form 10-Q for the quarter</w:t>
        </w:r>
      </w:hyperlink>
      <w:r>
        <w:rPr>
          <w:rFonts w:ascii="Arial" w:cs="Arial" w:eastAsia="Arial" w:hAnsi="Arial"/>
          <w:sz w:val="17"/>
          <w:szCs w:val="17"/>
          <w:color w:val="0000EE"/>
        </w:rPr>
        <w:t xml:space="preserve"> </w:t>
      </w:r>
      <w:hyperlink r:id="rId19">
        <w:r>
          <w:rPr>
            <w:rFonts w:ascii="Arial" w:cs="Arial" w:eastAsia="Arial" w:hAnsi="Arial"/>
            <w:sz w:val="17"/>
            <w:szCs w:val="17"/>
            <w:u w:val="single" w:color="auto"/>
            <w:color w:val="0000EE"/>
          </w:rPr>
          <w:t>ended June 30, 2021</w:t>
        </w:r>
        <w:r>
          <w:rPr>
            <w:rFonts w:ascii="Arial" w:cs="Arial" w:eastAsia="Arial" w:hAnsi="Arial"/>
            <w:sz w:val="17"/>
            <w:szCs w:val="17"/>
            <w:color w:val="0000EE"/>
          </w:rPr>
          <w:t xml:space="preserve"> </w:t>
        </w:r>
        <w:r>
          <w:rPr>
            <w:rFonts w:ascii="Arial" w:cs="Arial" w:eastAsia="Arial" w:hAnsi="Arial"/>
            <w:sz w:val="17"/>
            <w:szCs w:val="17"/>
            <w:color w:val="000000"/>
          </w:rPr>
          <w:t>and in our other reports and filings with the SEC. See “</w:t>
        </w:r>
        <w:r>
          <w:rPr>
            <w:rFonts w:ascii="Arial" w:cs="Arial" w:eastAsia="Arial" w:hAnsi="Arial"/>
            <w:sz w:val="17"/>
            <w:szCs w:val="17"/>
            <w:u w:val="single" w:color="auto"/>
            <w:color w:val="000000"/>
          </w:rPr>
          <w:t>Where You Can Find More</w:t>
        </w:r>
      </w:hyperlink>
      <w:r>
        <w:rPr>
          <w:rFonts w:ascii="Arial" w:cs="Arial" w:eastAsia="Arial" w:hAnsi="Arial"/>
          <w:sz w:val="17"/>
          <w:szCs w:val="17"/>
          <w:color w:val="0000EE"/>
        </w:rPr>
        <w:t xml:space="preserve"> </w:t>
      </w:r>
      <w:r>
        <w:rPr>
          <w:rFonts w:ascii="Arial" w:cs="Arial" w:eastAsia="Arial" w:hAnsi="Arial"/>
          <w:sz w:val="17"/>
          <w:szCs w:val="17"/>
          <w:u w:val="single" w:color="auto"/>
          <w:color w:val="000000"/>
        </w:rPr>
        <w:t>Information</w:t>
      </w:r>
      <w:r>
        <w:rPr>
          <w:rFonts w:ascii="Arial" w:cs="Arial" w:eastAsia="Arial" w:hAnsi="Arial"/>
          <w:sz w:val="17"/>
          <w:szCs w:val="17"/>
          <w:color w:val="000000"/>
        </w:rPr>
        <w:t>” and “</w:t>
      </w:r>
      <w:r>
        <w:rPr>
          <w:rFonts w:ascii="Arial" w:cs="Arial" w:eastAsia="Arial" w:hAnsi="Arial"/>
          <w:sz w:val="17"/>
          <w:szCs w:val="17"/>
          <w:u w:val="single" w:color="auto"/>
          <w:color w:val="000000"/>
        </w:rPr>
        <w:t>Incorporation of Certain Documents by Reference</w:t>
      </w:r>
      <w:r>
        <w:rPr>
          <w:rFonts w:ascii="Arial" w:cs="Arial" w:eastAsia="Arial" w:hAnsi="Arial"/>
          <w:sz w:val="17"/>
          <w:szCs w:val="17"/>
          <w:color w:val="000000"/>
        </w:rPr>
        <w:t>” for information about how to obtain copies of our filings with the SEC. For a discussion of significant risk factors that apply to the exchange offer and the notes, see “</w:t>
      </w:r>
      <w:r>
        <w:rPr>
          <w:rFonts w:ascii="Arial" w:cs="Arial" w:eastAsia="Arial" w:hAnsi="Arial"/>
          <w:sz w:val="17"/>
          <w:szCs w:val="17"/>
          <w:u w:val="single" w:color="auto"/>
          <w:color w:val="000000"/>
        </w:rPr>
        <w:t>Risk Factors</w:t>
      </w:r>
      <w:r>
        <w:rPr>
          <w:rFonts w:ascii="Arial" w:cs="Arial" w:eastAsia="Arial" w:hAnsi="Arial"/>
          <w:sz w:val="17"/>
          <w:szCs w:val="17"/>
          <w:color w:val="000000"/>
        </w:rPr>
        <w:t>” beginning on page 8 of this prospectus.</w:t>
      </w:r>
    </w:p>
    <w:p>
      <w:pPr>
        <w:spacing w:after="0" w:line="110" w:lineRule="exact"/>
        <w:rPr>
          <w:rFonts w:ascii="Arial" w:cs="Arial" w:eastAsia="Arial" w:hAnsi="Arial"/>
          <w:sz w:val="17"/>
          <w:szCs w:val="17"/>
          <w:u w:val="single" w:color="auto"/>
          <w:color w:val="0000EE"/>
        </w:rPr>
      </w:pPr>
    </w:p>
    <w:p>
      <w:pPr>
        <w:jc w:val="both"/>
        <w:ind w:left="1260" w:right="619" w:firstLine="360"/>
        <w:spacing w:after="0" w:line="275" w:lineRule="auto"/>
        <w:rPr>
          <w:sz w:val="20"/>
          <w:szCs w:val="20"/>
          <w:color w:val="auto"/>
        </w:rPr>
      </w:pPr>
      <w:r>
        <w:rPr>
          <w:rFonts w:ascii="Arial" w:cs="Arial" w:eastAsia="Arial" w:hAnsi="Arial"/>
          <w:sz w:val="17"/>
          <w:szCs w:val="17"/>
          <w:color w:val="auto"/>
        </w:rPr>
        <w:t>Although we believe the expectations reflected in the forward-looking statements are reasonable, we cannot guarantee future results, levels of activity, performance or achievements. We do not intend and we disclaim any duty or obligation to update or revise any industry information or forward-looking statement set forth in this prospectus or the documents incorporated by reference herein to reflect new information, future events, or otherwise, except as required by U.S. federal securities laws.</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90" w:lineRule="exact"/>
        <w:rPr>
          <w:rFonts w:ascii="Arial" w:cs="Arial" w:eastAsia="Arial" w:hAnsi="Arial"/>
          <w:sz w:val="17"/>
          <w:szCs w:val="17"/>
          <w:u w:val="single" w:color="auto"/>
          <w:color w:val="0000EE"/>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39" w:firstLine="360"/>
        <w:spacing w:after="0" w:line="291" w:lineRule="auto"/>
        <w:rPr>
          <w:sz w:val="20"/>
          <w:szCs w:val="20"/>
          <w:color w:val="auto"/>
        </w:rPr>
      </w:pPr>
      <w:r>
        <w:rPr>
          <w:rFonts w:ascii="Arial" w:cs="Arial" w:eastAsia="Arial" w:hAnsi="Arial"/>
          <w:sz w:val="16"/>
          <w:szCs w:val="16"/>
          <w:b w:val="1"/>
          <w:bCs w:val="1"/>
          <w:i w:val="1"/>
          <w:iCs w:val="1"/>
          <w:color w:val="auto"/>
        </w:rPr>
        <w:t xml:space="preserve">This summary highlights selected information appearing elsewhere, or incorporated by reference, in this prospectus and is, therefore, qualified in its entirety by the more detailed information appearing elsewhere, or incorporated by reference, in this prospectus. It may not contain all of the information that may be important to you in deciding to exchange your Old Notes for New Notes. We urge you to read carefully this entire prospectus and the other documents to which it refers to understand fully the terms of the New Notes and the exchange offer. You should pay special attention to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Risk Factors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and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Cautionary Note Regarding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u w:val="single" w:color="auto"/>
          <w:color w:val="auto"/>
        </w:rPr>
        <w:t>Statements</w:t>
      </w:r>
      <w:r>
        <w:rPr>
          <w:rFonts w:ascii="Arial" w:cs="Arial" w:eastAsia="Arial" w:hAnsi="Arial"/>
          <w:sz w:val="16"/>
          <w:szCs w:val="16"/>
          <w:b w:val="1"/>
          <w:bCs w:val="1"/>
          <w:color w:val="auto"/>
        </w:rPr>
        <w:t>.”</w:t>
      </w:r>
    </w:p>
    <w:p>
      <w:pPr>
        <w:spacing w:after="0" w:line="16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80" w:right="539" w:firstLine="360"/>
        <w:spacing w:after="0" w:line="342" w:lineRule="auto"/>
        <w:rPr>
          <w:sz w:val="20"/>
          <w:szCs w:val="20"/>
          <w:color w:val="auto"/>
        </w:rPr>
      </w:pPr>
      <w:r>
        <w:rPr>
          <w:rFonts w:ascii="Arial" w:cs="Arial" w:eastAsia="Arial" w:hAnsi="Arial"/>
          <w:sz w:val="16"/>
          <w:szCs w:val="16"/>
          <w:color w:val="auto"/>
        </w:rPr>
        <w:t>We operate through two business segments: our Structured Loan Origination and Investment Business (“</w:t>
      </w:r>
      <w:r>
        <w:rPr>
          <w:rFonts w:ascii="Arial" w:cs="Arial" w:eastAsia="Arial" w:hAnsi="Arial"/>
          <w:sz w:val="16"/>
          <w:szCs w:val="16"/>
          <w:u w:val="single" w:color="auto"/>
          <w:color w:val="auto"/>
        </w:rPr>
        <w:t>Structured Business</w:t>
      </w:r>
      <w:r>
        <w:rPr>
          <w:rFonts w:ascii="Arial" w:cs="Arial" w:eastAsia="Arial" w:hAnsi="Arial"/>
          <w:sz w:val="16"/>
          <w:szCs w:val="16"/>
          <w:color w:val="auto"/>
        </w:rPr>
        <w:t>”) and our Agency Loan Origination and Servicing Business (“</w:t>
      </w:r>
      <w:r>
        <w:rPr>
          <w:rFonts w:ascii="Arial" w:cs="Arial" w:eastAsia="Arial" w:hAnsi="Arial"/>
          <w:sz w:val="16"/>
          <w:szCs w:val="16"/>
          <w:u w:val="single" w:color="auto"/>
          <w:color w:val="auto"/>
        </w:rPr>
        <w:t>Agency Business</w:t>
      </w:r>
      <w:r>
        <w:rPr>
          <w:rFonts w:ascii="Arial" w:cs="Arial" w:eastAsia="Arial" w:hAnsi="Arial"/>
          <w:sz w:val="16"/>
          <w:szCs w:val="16"/>
          <w:color w:val="auto"/>
        </w:rPr>
        <w:t>”).</w:t>
      </w:r>
    </w:p>
    <w:p>
      <w:pPr>
        <w:spacing w:after="0" w:line="43"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color w:val="auto"/>
        </w:rPr>
        <w:t>Through our Structured Business, we invest in a diversified portfolio of structured finance assets in the multifamily, single-family rental and commercial real estate markets, primarily consisting of bridge and mezzanine loans, including junior participating interests in first mortgages and preferred and direct equity. We also invest in real estate-related joint ventures and may directly acquire real property and invest in real estate-related notes and certain mortgage-related securities.</w:t>
      </w:r>
    </w:p>
    <w:p>
      <w:pPr>
        <w:spacing w:after="0" w:line="12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Through our Agency Business, we originate, sell and service a range of multifamily finance products</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through the Federal National Mortgage Association (“</w:t>
      </w:r>
      <w:r>
        <w:rPr>
          <w:rFonts w:ascii="Arial" w:cs="Arial" w:eastAsia="Arial" w:hAnsi="Arial"/>
          <w:sz w:val="17"/>
          <w:szCs w:val="17"/>
          <w:u w:val="single" w:color="auto"/>
          <w:color w:val="auto"/>
        </w:rPr>
        <w:t>Fannie Mae</w:t>
      </w:r>
      <w:r>
        <w:rPr>
          <w:rFonts w:ascii="Arial" w:cs="Arial" w:eastAsia="Arial" w:hAnsi="Arial"/>
          <w:sz w:val="17"/>
          <w:szCs w:val="17"/>
          <w:color w:val="auto"/>
        </w:rPr>
        <w:t>”) and the Federal Home Loan Mortgage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Corporation (“</w:t>
      </w:r>
      <w:r>
        <w:rPr>
          <w:rFonts w:ascii="Arial" w:cs="Arial" w:eastAsia="Arial" w:hAnsi="Arial"/>
          <w:sz w:val="18"/>
          <w:szCs w:val="18"/>
          <w:u w:val="single" w:color="auto"/>
          <w:color w:val="auto"/>
        </w:rPr>
        <w:t>Freddie Mac</w:t>
      </w:r>
      <w:r>
        <w:rPr>
          <w:rFonts w:ascii="Arial" w:cs="Arial" w:eastAsia="Arial" w:hAnsi="Arial"/>
          <w:sz w:val="18"/>
          <w:szCs w:val="18"/>
          <w:color w:val="auto"/>
        </w:rPr>
        <w:t>,” and together with Fannie Mae, the government-sponsored enterprises, or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GSEs</w:t>
      </w:r>
      <w:r>
        <w:rPr>
          <w:rFonts w:ascii="Arial" w:cs="Arial" w:eastAsia="Arial" w:hAnsi="Arial"/>
          <w:sz w:val="18"/>
          <w:szCs w:val="18"/>
          <w:color w:val="auto"/>
        </w:rPr>
        <w:t>”), the Government National Mortgage Association (“</w:t>
      </w:r>
      <w:r>
        <w:rPr>
          <w:rFonts w:ascii="Arial" w:cs="Arial" w:eastAsia="Arial" w:hAnsi="Arial"/>
          <w:sz w:val="18"/>
          <w:szCs w:val="18"/>
          <w:u w:val="single" w:color="auto"/>
          <w:color w:val="auto"/>
        </w:rPr>
        <w:t>Ginnie Mae</w:t>
      </w:r>
      <w:r>
        <w:rPr>
          <w:rFonts w:ascii="Arial" w:cs="Arial" w:eastAsia="Arial" w:hAnsi="Arial"/>
          <w:sz w:val="18"/>
          <w:szCs w:val="18"/>
          <w:color w:val="auto"/>
        </w:rPr>
        <w:t>”), Federal Housing Authority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FHA</w:t>
      </w:r>
      <w:r>
        <w:rPr>
          <w:rFonts w:ascii="Arial" w:cs="Arial" w:eastAsia="Arial" w:hAnsi="Arial"/>
          <w:sz w:val="17"/>
          <w:szCs w:val="17"/>
          <w:color w:val="auto"/>
        </w:rPr>
        <w:t>”) and the U.S. Department of Housing and Urban Development (together with Ginnie Mae and FHA,</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HUD</w:t>
      </w:r>
      <w:r>
        <w:rPr>
          <w:rFonts w:ascii="Arial" w:cs="Arial" w:eastAsia="Arial" w:hAnsi="Arial"/>
          <w:sz w:val="17"/>
          <w:szCs w:val="17"/>
          <w:color w:val="auto"/>
        </w:rPr>
        <w:t>”). We retain the servicing rights and asset management responsibilities on substantially all loans we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originate and sell under the GSE and HUD programs. We are an approved Fannie Mae Delegated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Underwriting and Servicing lender nationally, a Freddie Mac Multifamily Conventional Loan lender,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seller/servicer, in New York, New Jersey and Connecticut, a Freddie Mac affordable, manufactured housing,</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senior housing and small balance loan lender, seller/servicer, nationally and a HUD MAP and LEAN senior</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housing/healthcare lender nationally. We also originate and service permanent financing loans underwritten</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using the guidelines of our existing agency loans sold to the GSEs, which we refer to as “</w:t>
      </w:r>
      <w:r>
        <w:rPr>
          <w:rFonts w:ascii="Arial" w:cs="Arial" w:eastAsia="Arial" w:hAnsi="Arial"/>
          <w:sz w:val="18"/>
          <w:szCs w:val="18"/>
          <w:u w:val="single" w:color="auto"/>
          <w:color w:val="auto"/>
        </w:rPr>
        <w:t>Private Label</w:t>
      </w:r>
      <w:r>
        <w:rPr>
          <w:rFonts w:ascii="Arial" w:cs="Arial" w:eastAsia="Arial" w:hAnsi="Arial"/>
          <w:sz w:val="18"/>
          <w:szCs w:val="18"/>
          <w:color w:val="auto"/>
        </w:rPr>
        <w: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loans, and originate and sell finance products through conduit/commercial mortgage-backed securities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programs. We pool and securitize the Private Label loans and sell certificates in the securitizations to third-</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party investors, while retaining the servicing rights and the highest risk bottom tranche certificate of the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securitization.</w:t>
      </w:r>
    </w:p>
    <w:p>
      <w:pPr>
        <w:spacing w:after="0" w:line="143" w:lineRule="exact"/>
        <w:rPr>
          <w:sz w:val="20"/>
          <w:szCs w:val="20"/>
          <w:color w:val="auto"/>
        </w:rPr>
      </w:pPr>
    </w:p>
    <w:p>
      <w:pPr>
        <w:ind w:left="1280" w:right="539" w:firstLine="360"/>
        <w:spacing w:after="0" w:line="254" w:lineRule="auto"/>
        <w:rPr>
          <w:sz w:val="20"/>
          <w:szCs w:val="20"/>
          <w:color w:val="auto"/>
        </w:rPr>
      </w:pPr>
      <w:r>
        <w:rPr>
          <w:rFonts w:ascii="Arial" w:cs="Arial" w:eastAsia="Arial" w:hAnsi="Arial"/>
          <w:sz w:val="18"/>
          <w:szCs w:val="18"/>
          <w:color w:val="auto"/>
        </w:rPr>
        <w:t>We are organized to qualify as a real estate investment trust (“</w:t>
      </w:r>
      <w:r>
        <w:rPr>
          <w:rFonts w:ascii="Arial" w:cs="Arial" w:eastAsia="Arial" w:hAnsi="Arial"/>
          <w:sz w:val="18"/>
          <w:szCs w:val="18"/>
          <w:u w:val="single" w:color="auto"/>
          <w:color w:val="auto"/>
        </w:rPr>
        <w:t>REIT</w:t>
      </w:r>
      <w:r>
        <w:rPr>
          <w:rFonts w:ascii="Arial" w:cs="Arial" w:eastAsia="Arial" w:hAnsi="Arial"/>
          <w:sz w:val="18"/>
          <w:szCs w:val="18"/>
          <w:color w:val="auto"/>
        </w:rPr>
        <w:t>”) for U.S. federal income tax purposes. A REIT is generally not subject to federal income tax on that portion of its REIT-taxable income that is distributed to its stockholders, provided that at least 90% of taxable income is distributed and provided that certain other requirements are met. Certain of our assets that produce non-qualifying REIT income, primarily within the Agency Business, are operated through taxable REIT subsidiaries (“</w:t>
      </w:r>
      <w:r>
        <w:rPr>
          <w:rFonts w:ascii="Arial" w:cs="Arial" w:eastAsia="Arial" w:hAnsi="Arial"/>
          <w:sz w:val="18"/>
          <w:szCs w:val="18"/>
          <w:u w:val="single" w:color="auto"/>
          <w:color w:val="auto"/>
        </w:rPr>
        <w:t>TRS</w:t>
      </w:r>
      <w:r>
        <w:rPr>
          <w:rFonts w:ascii="Arial" w:cs="Arial" w:eastAsia="Arial" w:hAnsi="Arial"/>
          <w:sz w:val="18"/>
          <w:szCs w:val="18"/>
          <w:color w:val="auto"/>
        </w:rPr>
        <w:t>”), which are part of our TRS consolidated group and are subject to U.S. federal, state and local income taxes. In general, our TRS entities may hold assets that the REIT cannot hold directly and may engage in real estate or non-real estate-related business.</w:t>
      </w:r>
    </w:p>
    <w:p>
      <w:pPr>
        <w:spacing w:after="0" w:line="111" w:lineRule="exact"/>
        <w:rPr>
          <w:sz w:val="20"/>
          <w:szCs w:val="20"/>
          <w:color w:val="auto"/>
        </w:rPr>
      </w:pPr>
    </w:p>
    <w:p>
      <w:pPr>
        <w:ind w:left="1280" w:right="559" w:firstLine="360"/>
        <w:spacing w:after="0" w:line="275" w:lineRule="auto"/>
        <w:rPr>
          <w:sz w:val="20"/>
          <w:szCs w:val="20"/>
          <w:color w:val="auto"/>
        </w:rPr>
      </w:pPr>
      <w:r>
        <w:rPr>
          <w:rFonts w:ascii="Arial" w:cs="Arial" w:eastAsia="Arial" w:hAnsi="Arial"/>
          <w:sz w:val="17"/>
          <w:szCs w:val="17"/>
          <w:color w:val="auto"/>
        </w:rPr>
        <w:t>Substantially all of our operations are conducted through our operating partnership, Arbor Realty Limited Partnership (“</w:t>
      </w:r>
      <w:r>
        <w:rPr>
          <w:rFonts w:ascii="Arial" w:cs="Arial" w:eastAsia="Arial" w:hAnsi="Arial"/>
          <w:sz w:val="17"/>
          <w:szCs w:val="17"/>
          <w:u w:val="single" w:color="auto"/>
          <w:color w:val="auto"/>
        </w:rPr>
        <w:t>ARLP</w:t>
      </w:r>
      <w:r>
        <w:rPr>
          <w:rFonts w:ascii="Arial" w:cs="Arial" w:eastAsia="Arial" w:hAnsi="Arial"/>
          <w:sz w:val="17"/>
          <w:szCs w:val="17"/>
          <w:color w:val="auto"/>
        </w:rPr>
        <w:t>”), and ARLP’s subsidiaries, including Arbor Realty SR, Inc., a subsidiary REIT, which we refer to as SR Inc., and its subsidiaries. Arbor Realty GPOP, Inc. and Arbor Realty LPOP, Inc., our wholly owned subsidiaries, serve as the general partner and limited partner, respectively, of our operating partnership, and currently own, collectively, 89.7% of its partnership interests.</w:t>
      </w:r>
    </w:p>
    <w:p>
      <w:pPr>
        <w:spacing w:after="0" w:line="109" w:lineRule="exact"/>
        <w:rPr>
          <w:sz w:val="20"/>
          <w:szCs w:val="20"/>
          <w:color w:val="auto"/>
        </w:rPr>
      </w:pPr>
    </w:p>
    <w:p>
      <w:pPr>
        <w:ind w:left="1280" w:right="479" w:firstLine="360"/>
        <w:spacing w:after="0" w:line="259" w:lineRule="auto"/>
        <w:rPr>
          <w:sz w:val="20"/>
          <w:szCs w:val="20"/>
          <w:color w:val="auto"/>
        </w:rPr>
      </w:pPr>
      <w:r>
        <w:rPr>
          <w:rFonts w:ascii="Arial" w:cs="Arial" w:eastAsia="Arial" w:hAnsi="Arial"/>
          <w:sz w:val="18"/>
          <w:szCs w:val="18"/>
          <w:color w:val="auto"/>
        </w:rPr>
        <w:t>We are a Maryland corporation formed in June 2003. Our principal executive offices are located at 333 Earle Ovington Boulevard, Suite 900, Uniondale, New York 11553. Our telephone number is (516) 506-4200. Our website is located at www.arbor.com. The information on our website is not incorporated by reference in this prospectus, and you should not consider it a part of this prospectus.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8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 of the Exchange Offer</w:t>
      </w:r>
    </w:p>
    <w:p>
      <w:pPr>
        <w:spacing w:after="0" w:line="162" w:lineRule="exact"/>
        <w:rPr>
          <w:sz w:val="20"/>
          <w:szCs w:val="20"/>
          <w:color w:val="auto"/>
        </w:rPr>
      </w:pPr>
    </w:p>
    <w:p>
      <w:pPr>
        <w:ind w:left="1280" w:right="619" w:firstLine="360"/>
        <w:spacing w:after="0" w:line="259" w:lineRule="auto"/>
        <w:rPr>
          <w:sz w:val="20"/>
          <w:szCs w:val="20"/>
          <w:color w:val="auto"/>
        </w:rPr>
      </w:pPr>
      <w:r>
        <w:rPr>
          <w:rFonts w:ascii="Arial" w:cs="Arial" w:eastAsia="Arial" w:hAnsi="Arial"/>
          <w:sz w:val="18"/>
          <w:szCs w:val="18"/>
          <w:color w:val="auto"/>
        </w:rPr>
        <w:t>The following provides a summary of certain terms of the exchange offer. Please refer to the section “</w:t>
      </w:r>
      <w:r>
        <w:rPr>
          <w:rFonts w:ascii="Arial" w:cs="Arial" w:eastAsia="Arial" w:hAnsi="Arial"/>
          <w:sz w:val="18"/>
          <w:szCs w:val="18"/>
          <w:u w:val="single" w:color="auto"/>
          <w:color w:val="auto"/>
        </w:rPr>
        <w:t>The Exchange Offer</w:t>
      </w:r>
      <w:r>
        <w:rPr>
          <w:rFonts w:ascii="Arial" w:cs="Arial" w:eastAsia="Arial" w:hAnsi="Arial"/>
          <w:sz w:val="18"/>
          <w:szCs w:val="18"/>
          <w:color w:val="auto"/>
        </w:rPr>
        <w:t>” appearing elsewhere in this prospectus for a more complete description of the exchange offer and the section “</w:t>
      </w:r>
      <w:r>
        <w:rPr>
          <w:rFonts w:ascii="Arial" w:cs="Arial" w:eastAsia="Arial" w:hAnsi="Arial"/>
          <w:sz w:val="18"/>
          <w:szCs w:val="18"/>
          <w:u w:val="single" w:color="auto"/>
          <w:color w:val="auto"/>
        </w:rPr>
        <w:t>Description of the Notes</w:t>
      </w:r>
      <w:r>
        <w:rPr>
          <w:rFonts w:ascii="Arial" w:cs="Arial" w:eastAsia="Arial" w:hAnsi="Arial"/>
          <w:sz w:val="18"/>
          <w:szCs w:val="18"/>
          <w:color w:val="auto"/>
        </w:rPr>
        <w:t>” for a more complete description of the terms of the Old Notes and New Notes.</w:t>
      </w:r>
    </w:p>
    <w:p>
      <w:pPr>
        <w:spacing w:after="0" w:line="75"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600" w:type="dxa"/>
            <w:vAlign w:val="bottom"/>
          </w:tcPr>
          <w:p>
            <w:pPr>
              <w:spacing w:after="0"/>
              <w:rPr>
                <w:sz w:val="20"/>
                <w:szCs w:val="20"/>
                <w:color w:val="auto"/>
              </w:rPr>
            </w:pPr>
            <w:r>
              <w:rPr>
                <w:rFonts w:ascii="Arial" w:cs="Arial" w:eastAsia="Arial" w:hAnsi="Arial"/>
                <w:sz w:val="18"/>
                <w:szCs w:val="18"/>
                <w:b w:val="1"/>
                <w:bCs w:val="1"/>
                <w:color w:val="auto"/>
              </w:rPr>
              <w:t>Old Notes</w:t>
            </w: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4"/>
              </w:rPr>
              <w:t>$165,000,000 in aggregate principal amount of 5.00% Senior Notes</w:t>
            </w:r>
          </w:p>
        </w:tc>
      </w:tr>
      <w:tr>
        <w:trPr>
          <w:trHeight w:val="230"/>
        </w:trPr>
        <w:tc>
          <w:tcPr>
            <w:tcW w:w="2600" w:type="dxa"/>
            <w:vAlign w:val="bottom"/>
          </w:tcPr>
          <w:p>
            <w:pPr>
              <w:spacing w:after="0"/>
              <w:rPr>
                <w:sz w:val="20"/>
                <w:szCs w:val="20"/>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due 2026.</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5"/>
              </w:rPr>
              <w:t>Up to $165,000,000 in aggregate principal amount of 5.00% Senior</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8"/>
              </w:rPr>
              <w:t>Notes due 2026 which have terms that are identical in all material</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7"/>
              </w:rPr>
              <w:t>respects to the terms of the Old Notes, except that the New Notes</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3"/>
              </w:rPr>
              <w:t>are registered under the Securities Act and are generally not subject</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8"/>
              </w:rPr>
              <w:t>to transfer restrictions, are not entitled to registration rights under</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the registration rights agreement and do not have the right to</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additional interest under the circumstances described in the</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registration rights agreement relating to our fulfillment of our</w:t>
            </w:r>
          </w:p>
        </w:tc>
      </w:tr>
      <w:tr>
        <w:trPr>
          <w:trHeight w:val="230"/>
        </w:trPr>
        <w:tc>
          <w:tcPr>
            <w:tcW w:w="2600" w:type="dxa"/>
            <w:vAlign w:val="bottom"/>
          </w:tcPr>
          <w:p>
            <w:pPr>
              <w:spacing w:after="0"/>
              <w:rPr>
                <w:sz w:val="20"/>
                <w:szCs w:val="20"/>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registration obligations.</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Exchange Offer</w:t>
            </w: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We are offering to exchange the Old Notes for a like principal</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7"/>
              </w:rPr>
              <w:t>amount of New Notes. Subject to the terms of this exchange offer,</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promptly following the termination of the exchange offer, we will</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exchange all Old Notes that have been validly tendered and not</w:t>
            </w:r>
          </w:p>
        </w:tc>
      </w:tr>
      <w:tr>
        <w:trPr>
          <w:trHeight w:val="216"/>
        </w:trPr>
        <w:tc>
          <w:tcPr>
            <w:tcW w:w="260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9"/>
              </w:rPr>
              <w:t>validly withdrawn prior to the expiration of the exchange offer for</w:t>
            </w:r>
          </w:p>
        </w:tc>
      </w:tr>
      <w:tr>
        <w:trPr>
          <w:trHeight w:val="230"/>
        </w:trPr>
        <w:tc>
          <w:tcPr>
            <w:tcW w:w="2600" w:type="dxa"/>
            <w:vAlign w:val="bottom"/>
          </w:tcPr>
          <w:p>
            <w:pPr>
              <w:spacing w:after="0"/>
              <w:rPr>
                <w:sz w:val="20"/>
                <w:szCs w:val="20"/>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New Notes.</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8"/>
              </w:rPr>
              <w:t>The exchange offer will expire at 11:59 p.m., New York City time,</w:t>
            </w:r>
          </w:p>
        </w:tc>
      </w:tr>
      <w:tr>
        <w:trPr>
          <w:trHeight w:val="230"/>
        </w:trPr>
        <w:tc>
          <w:tcPr>
            <w:tcW w:w="2600" w:type="dxa"/>
            <w:vAlign w:val="bottom"/>
          </w:tcPr>
          <w:p>
            <w:pPr>
              <w:spacing w:after="0"/>
              <w:rPr>
                <w:sz w:val="20"/>
                <w:szCs w:val="20"/>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on August 26, 2021, unless extended.</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Withdrawal Rights</w:t>
            </w: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6"/>
              </w:rPr>
              <w:t>You may withdraw the tender of your Old Notes at any time before</w:t>
            </w:r>
          </w:p>
        </w:tc>
      </w:tr>
      <w:tr>
        <w:trPr>
          <w:trHeight w:val="230"/>
        </w:trPr>
        <w:tc>
          <w:tcPr>
            <w:tcW w:w="2600" w:type="dxa"/>
            <w:vAlign w:val="bottom"/>
          </w:tcPr>
          <w:p>
            <w:pPr>
              <w:spacing w:after="0"/>
              <w:rPr>
                <w:sz w:val="20"/>
                <w:szCs w:val="20"/>
                <w:color w:val="auto"/>
              </w:rPr>
            </w:pP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rPr>
              <w:t>5:00 p.m., New York City time, on the expiration date.</w:t>
            </w:r>
          </w:p>
        </w:tc>
      </w:tr>
      <w:tr>
        <w:trPr>
          <w:trHeight w:val="310"/>
        </w:trPr>
        <w:tc>
          <w:tcPr>
            <w:tcW w:w="2600" w:type="dxa"/>
            <w:vAlign w:val="bottom"/>
          </w:tcPr>
          <w:p>
            <w:pPr>
              <w:spacing w:after="0"/>
              <w:rPr>
                <w:sz w:val="20"/>
                <w:szCs w:val="20"/>
                <w:color w:val="auto"/>
              </w:rPr>
            </w:pPr>
            <w:r>
              <w:rPr>
                <w:rFonts w:ascii="Arial" w:cs="Arial" w:eastAsia="Arial" w:hAnsi="Arial"/>
                <w:sz w:val="18"/>
                <w:szCs w:val="18"/>
                <w:b w:val="1"/>
                <w:bCs w:val="1"/>
                <w:color w:val="auto"/>
              </w:rPr>
              <w:t>Conditions to Exchange Offer</w:t>
            </w:r>
          </w:p>
        </w:tc>
        <w:tc>
          <w:tcPr>
            <w:tcW w:w="5540" w:type="dxa"/>
            <w:vAlign w:val="bottom"/>
            <w:gridSpan w:val="3"/>
          </w:tcPr>
          <w:p>
            <w:pPr>
              <w:ind w:left="420"/>
              <w:spacing w:after="0"/>
              <w:rPr>
                <w:sz w:val="20"/>
                <w:szCs w:val="20"/>
                <w:color w:val="auto"/>
              </w:rPr>
            </w:pPr>
            <w:r>
              <w:rPr>
                <w:rFonts w:ascii="Arial" w:cs="Arial" w:eastAsia="Arial" w:hAnsi="Arial"/>
                <w:sz w:val="18"/>
                <w:szCs w:val="18"/>
                <w:color w:val="auto"/>
                <w:w w:val="98"/>
              </w:rPr>
              <w:t>This exchange offer is subject to customary conditions, which we</w:t>
            </w:r>
          </w:p>
        </w:tc>
      </w:tr>
      <w:tr>
        <w:trPr>
          <w:trHeight w:val="190"/>
        </w:trPr>
        <w:tc>
          <w:tcPr>
            <w:tcW w:w="2600" w:type="dxa"/>
            <w:vAlign w:val="bottom"/>
          </w:tcPr>
          <w:p>
            <w:pPr>
              <w:spacing w:after="0"/>
              <w:rPr>
                <w:sz w:val="16"/>
                <w:szCs w:val="16"/>
                <w:color w:val="auto"/>
              </w:rPr>
            </w:pPr>
          </w:p>
        </w:tc>
        <w:tc>
          <w:tcPr>
            <w:tcW w:w="5540" w:type="dxa"/>
            <w:vAlign w:val="bottom"/>
            <w:gridSpan w:val="3"/>
          </w:tcPr>
          <w:p>
            <w:pPr>
              <w:ind w:left="420"/>
              <w:spacing w:after="0" w:line="190" w:lineRule="exact"/>
              <w:rPr>
                <w:sz w:val="20"/>
                <w:szCs w:val="20"/>
                <w:color w:val="auto"/>
              </w:rPr>
            </w:pPr>
            <w:r>
              <w:rPr>
                <w:rFonts w:ascii="Arial" w:cs="Arial" w:eastAsia="Arial" w:hAnsi="Arial"/>
                <w:sz w:val="18"/>
                <w:szCs w:val="18"/>
                <w:color w:val="auto"/>
              </w:rPr>
              <w:t>may waive. See “The Exchange Offer — Conditions.”</w:t>
            </w:r>
          </w:p>
        </w:tc>
      </w:tr>
      <w:tr>
        <w:trPr>
          <w:trHeight w:val="20"/>
        </w:trPr>
        <w:tc>
          <w:tcPr>
            <w:tcW w:w="2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Procedures for Tendering Old</w:t>
      </w:r>
    </w:p>
    <w:p>
      <w:pPr>
        <w:spacing w:after="0" w:line="27" w:lineRule="exact"/>
        <w:rPr>
          <w:sz w:val="20"/>
          <w:szCs w:val="20"/>
          <w:color w:val="auto"/>
        </w:rPr>
      </w:pPr>
    </w:p>
    <w:p>
      <w:pPr>
        <w:ind w:left="4300" w:right="399" w:hanging="2839"/>
        <w:spacing w:after="0" w:line="265" w:lineRule="auto"/>
        <w:tabs>
          <w:tab w:leader="none" w:pos="4280" w:val="left"/>
        </w:tabs>
        <w:rPr>
          <w:sz w:val="20"/>
          <w:szCs w:val="20"/>
          <w:color w:val="auto"/>
        </w:rPr>
      </w:pPr>
      <w:r>
        <w:rPr>
          <w:rFonts w:ascii="Arial" w:cs="Arial" w:eastAsia="Arial" w:hAnsi="Arial"/>
          <w:sz w:val="17"/>
          <w:szCs w:val="17"/>
          <w:b w:val="1"/>
          <w:bCs w:val="1"/>
          <w:color w:val="auto"/>
        </w:rPr>
        <w:t>Notes</w:t>
      </w:r>
      <w:r>
        <w:rPr>
          <w:sz w:val="20"/>
          <w:szCs w:val="20"/>
          <w:color w:val="auto"/>
        </w:rPr>
        <w:tab/>
      </w:r>
      <w:r>
        <w:rPr>
          <w:rFonts w:ascii="Arial" w:cs="Arial" w:eastAsia="Arial" w:hAnsi="Arial"/>
          <w:sz w:val="17"/>
          <w:szCs w:val="17"/>
          <w:color w:val="auto"/>
        </w:rPr>
        <w:t>Since the Old Notes are represented by global book-entry notes, the Depository Trust Company, or DTC, as depositary, or its nominee is treated as the registered holder of the Old Notes and will be the only entity that can tender your Old Notes for New Notes. In order to participate in the exchange offer, you must follow the procedures established by DTC for tendering Old Notes held in book-entry form. These procedures, which we call “</w:t>
      </w:r>
      <w:r>
        <w:rPr>
          <w:rFonts w:ascii="Arial" w:cs="Arial" w:eastAsia="Arial" w:hAnsi="Arial"/>
          <w:sz w:val="17"/>
          <w:szCs w:val="17"/>
          <w:u w:val="single" w:color="auto"/>
          <w:color w:val="auto"/>
        </w:rPr>
        <w:t>ATOP</w:t>
      </w:r>
      <w:r>
        <w:rPr>
          <w:rFonts w:ascii="Arial" w:cs="Arial" w:eastAsia="Arial" w:hAnsi="Arial"/>
          <w:sz w:val="17"/>
          <w:szCs w:val="17"/>
          <w:color w:val="auto"/>
        </w:rPr>
        <w:t>” procedures, require that (i) the exchange agent receive, prior to the expiration date of the exchange offer, a computer generated message known as an “agent’s message” that is transmitted through ATOP, and (ii) DTC has received (a) your instructions to exchange your Old Notes, and</w:t>
      </w:r>
    </w:p>
    <w:p>
      <w:pPr>
        <w:spacing w:after="0" w:line="2" w:lineRule="exact"/>
        <w:rPr>
          <w:sz w:val="20"/>
          <w:szCs w:val="20"/>
          <w:color w:val="auto"/>
        </w:rPr>
      </w:pPr>
    </w:p>
    <w:p>
      <w:pPr>
        <w:ind w:left="4300" w:right="599" w:firstLine="2"/>
        <w:spacing w:after="0" w:line="260" w:lineRule="auto"/>
        <w:tabs>
          <w:tab w:leader="none" w:pos="4569"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your agreement to be bound by the terms of the accompanying letter of transmittal for book-entry notes.</w:t>
      </w:r>
    </w:p>
    <w:p>
      <w:pPr>
        <w:spacing w:after="0" w:line="118" w:lineRule="exact"/>
        <w:rPr>
          <w:sz w:val="20"/>
          <w:szCs w:val="20"/>
          <w:color w:val="auto"/>
        </w:rPr>
      </w:pPr>
    </w:p>
    <w:p>
      <w:pPr>
        <w:ind w:left="4300" w:right="559"/>
        <w:spacing w:after="0" w:line="259" w:lineRule="auto"/>
        <w:rPr>
          <w:sz w:val="20"/>
          <w:szCs w:val="20"/>
          <w:color w:val="auto"/>
        </w:rPr>
      </w:pPr>
      <w:r>
        <w:rPr>
          <w:rFonts w:ascii="Arial" w:cs="Arial" w:eastAsia="Arial" w:hAnsi="Arial"/>
          <w:sz w:val="18"/>
          <w:szCs w:val="18"/>
          <w:color w:val="auto"/>
        </w:rPr>
        <w:t>Please note that by signing, or agreeing to be bound by, such letter of transmittal, you will be making a number of important representations to us. See “</w:t>
      </w:r>
      <w:r>
        <w:rPr>
          <w:rFonts w:ascii="Arial" w:cs="Arial" w:eastAsia="Arial" w:hAnsi="Arial"/>
          <w:sz w:val="18"/>
          <w:szCs w:val="18"/>
          <w:u w:val="single" w:color="auto"/>
          <w:color w:val="auto"/>
        </w:rPr>
        <w:t>The Exchange Offer — Eligibility;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 Federal Income Tax</w:t>
      </w:r>
    </w:p>
    <w:p>
      <w:pPr>
        <w:spacing w:after="0" w:line="27" w:lineRule="exact"/>
        <w:rPr>
          <w:sz w:val="20"/>
          <w:szCs w:val="20"/>
          <w:color w:val="auto"/>
        </w:rPr>
      </w:pPr>
    </w:p>
    <w:p>
      <w:pPr>
        <w:ind w:left="4300" w:right="719" w:hanging="2839"/>
        <w:spacing w:after="0" w:line="253" w:lineRule="auto"/>
        <w:tabs>
          <w:tab w:leader="none" w:pos="4280" w:val="left"/>
        </w:tabs>
        <w:rPr>
          <w:sz w:val="20"/>
          <w:szCs w:val="20"/>
          <w:color w:val="auto"/>
        </w:rPr>
      </w:pPr>
      <w:r>
        <w:rPr>
          <w:rFonts w:ascii="Arial" w:cs="Arial" w:eastAsia="Arial" w:hAnsi="Arial"/>
          <w:sz w:val="18"/>
          <w:szCs w:val="18"/>
          <w:b w:val="1"/>
          <w:bCs w:val="1"/>
          <w:color w:val="auto"/>
        </w:rPr>
        <w:t>Considerations</w:t>
      </w:r>
      <w:r>
        <w:rPr>
          <w:sz w:val="20"/>
          <w:szCs w:val="20"/>
          <w:color w:val="auto"/>
        </w:rPr>
        <w:tab/>
      </w:r>
      <w:r>
        <w:rPr>
          <w:rFonts w:ascii="Arial" w:cs="Arial" w:eastAsia="Arial" w:hAnsi="Arial"/>
          <w:sz w:val="18"/>
          <w:szCs w:val="18"/>
          <w:color w:val="auto"/>
        </w:rPr>
        <w:t>The exchange of Old Notes for New Notes in the exchange offer generally should not constitute a taxable event for U.S. federal income tax purposes. See “</w:t>
      </w:r>
      <w:r>
        <w:rPr>
          <w:rFonts w:ascii="Arial" w:cs="Arial" w:eastAsia="Arial" w:hAnsi="Arial"/>
          <w:sz w:val="18"/>
          <w:szCs w:val="18"/>
          <w:u w:val="single" w:color="auto"/>
          <w:color w:val="auto"/>
        </w:rPr>
        <w:t>U.S. Federal Income 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Considerations</w:t>
      </w:r>
      <w:r>
        <w:rPr>
          <w:rFonts w:ascii="Arial" w:cs="Arial" w:eastAsia="Arial" w:hAnsi="Arial"/>
          <w:sz w:val="18"/>
          <w:szCs w:val="18"/>
          <w:color w:val="auto"/>
        </w:rPr>
        <w:t>.” You</w:t>
      </w:r>
    </w:p>
    <w:p>
      <w:pPr>
        <w:sectPr>
          <w:pgSz w:w="11900" w:h="16838" w:orient="portrait"/>
          <w:cols w:equalWidth="0" w:num="1">
            <w:col w:w="9879"/>
          </w:cols>
          <w:pgMar w:left="580" w:top="131" w:right="1440" w:bottom="1440" w:gutter="0" w:footer="0" w:header="0"/>
        </w:sectPr>
      </w:pP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00" w:right="599"/>
        <w:spacing w:after="0" w:line="277" w:lineRule="auto"/>
        <w:rPr>
          <w:sz w:val="20"/>
          <w:szCs w:val="20"/>
          <w:color w:val="auto"/>
        </w:rPr>
      </w:pPr>
      <w:r>
        <w:rPr>
          <w:rFonts w:ascii="Arial" w:cs="Arial" w:eastAsia="Arial" w:hAnsi="Arial"/>
          <w:sz w:val="18"/>
          <w:szCs w:val="18"/>
          <w:color w:val="auto"/>
        </w:rPr>
        <w:t>should consult your own tax advisor as to the tax consequences of exchanging your Old Notes for New Notes.</w:t>
      </w:r>
    </w:p>
    <w:p>
      <w:pPr>
        <w:spacing w:after="0" w:line="58" w:lineRule="exact"/>
        <w:rPr>
          <w:sz w:val="20"/>
          <w:szCs w:val="20"/>
          <w:color w:val="auto"/>
        </w:rPr>
      </w:pPr>
    </w:p>
    <w:p>
      <w:pPr>
        <w:ind w:left="4300" w:right="419" w:hanging="3023"/>
        <w:spacing w:after="0" w:line="271" w:lineRule="auto"/>
        <w:tabs>
          <w:tab w:leader="none" w:pos="4280" w:val="left"/>
        </w:tabs>
        <w:rPr>
          <w:sz w:val="20"/>
          <w:szCs w:val="20"/>
          <w:color w:val="auto"/>
        </w:rPr>
      </w:pPr>
      <w:r>
        <w:rPr>
          <w:rFonts w:ascii="Arial" w:cs="Arial" w:eastAsia="Arial" w:hAnsi="Arial"/>
          <w:sz w:val="18"/>
          <w:szCs w:val="18"/>
          <w:b w:val="1"/>
          <w:bCs w:val="1"/>
          <w:color w:val="auto"/>
        </w:rPr>
        <w:t>Registration Rights</w:t>
      </w:r>
      <w:r>
        <w:rPr>
          <w:sz w:val="20"/>
          <w:szCs w:val="20"/>
          <w:color w:val="auto"/>
        </w:rPr>
        <w:tab/>
      </w:r>
      <w:r>
        <w:rPr>
          <w:rFonts w:ascii="Arial" w:cs="Arial" w:eastAsia="Arial" w:hAnsi="Arial"/>
          <w:sz w:val="17"/>
          <w:szCs w:val="17"/>
          <w:color w:val="auto"/>
        </w:rPr>
        <w:t>Under the terms of the registration rights agreement that we entered into with certain of the purchasers of the Old Notes at the time we issued the Old Notes, we agreed to register the New Notes and undertake this exchange offer. This exchange offer is intended to satisfy the rights of certain holders of Old Notes under the registration rights agreement. After the exchange offer is completed, we will have no further obligations to provide for any exchange or undertake any further registration with respect to the Old Notes.</w:t>
      </w:r>
    </w:p>
    <w:p>
      <w:pPr>
        <w:spacing w:after="0" w:line="70" w:lineRule="exact"/>
        <w:rPr>
          <w:sz w:val="20"/>
          <w:szCs w:val="20"/>
          <w:color w:val="auto"/>
        </w:rPr>
      </w:pPr>
    </w:p>
    <w:p>
      <w:pPr>
        <w:ind w:left="4300" w:right="419" w:hanging="3019"/>
        <w:spacing w:after="0" w:line="255" w:lineRule="auto"/>
        <w:tabs>
          <w:tab w:leader="none" w:pos="4280" w:val="left"/>
        </w:tabs>
        <w:rPr>
          <w:sz w:val="20"/>
          <w:szCs w:val="20"/>
          <w:color w:val="auto"/>
        </w:rPr>
      </w:pPr>
      <w:r>
        <w:rPr>
          <w:rFonts w:ascii="Arial" w:cs="Arial" w:eastAsia="Arial" w:hAnsi="Arial"/>
          <w:sz w:val="18"/>
          <w:szCs w:val="18"/>
          <w:b w:val="1"/>
          <w:bCs w:val="1"/>
          <w:color w:val="auto"/>
        </w:rPr>
        <w:t>Transferability</w:t>
      </w:r>
      <w:r>
        <w:rPr>
          <w:sz w:val="20"/>
          <w:szCs w:val="20"/>
          <w:color w:val="auto"/>
        </w:rPr>
        <w:tab/>
      </w:r>
      <w:r>
        <w:rPr>
          <w:rFonts w:ascii="Arial" w:cs="Arial" w:eastAsia="Arial" w:hAnsi="Arial"/>
          <w:sz w:val="18"/>
          <w:szCs w:val="18"/>
          <w:color w:val="auto"/>
        </w:rPr>
        <w:t>Based upon existing interpretations of the Securities Act by the staff of the SEC contained in several no-action letters issued to third parties, we believe that the New Notes may be offered for resale, resold or otherwise transferred by you without compliance with the registration and prospectus delivery requirements of the Securities Act, provided that:</w:t>
      </w:r>
    </w:p>
    <w:p>
      <w:pPr>
        <w:spacing w:after="0" w:line="102"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w w:val="95"/>
              </w:rPr>
              <w:t>you are acquiring the New Notes in the ordinary course of</w:t>
            </w:r>
          </w:p>
        </w:tc>
      </w:tr>
      <w:tr>
        <w:trPr>
          <w:trHeight w:val="230"/>
        </w:trPr>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your business;</w:t>
            </w:r>
          </w:p>
        </w:tc>
      </w:tr>
      <w:tr>
        <w:trPr>
          <w:trHeight w:val="310"/>
        </w:trPr>
        <w:tc>
          <w:tcPr>
            <w:tcW w:w="3020" w:type="dxa"/>
            <w:vAlign w:val="bottom"/>
          </w:tcPr>
          <w:p>
            <w:pPr>
              <w:spacing w:after="0"/>
              <w:rPr>
                <w:sz w:val="24"/>
                <w:szCs w:val="24"/>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w w:val="99"/>
              </w:rPr>
              <w:t>you are not participating or engaged in, do not intend to</w:t>
            </w:r>
          </w:p>
        </w:tc>
      </w:tr>
      <w:tr>
        <w:trPr>
          <w:trHeight w:val="216"/>
        </w:trPr>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participate or engage in, and have no arrangement or</w:t>
            </w:r>
          </w:p>
        </w:tc>
      </w:tr>
      <w:tr>
        <w:trPr>
          <w:trHeight w:val="216"/>
        </w:trPr>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understanding with any person to participate in, the</w:t>
            </w:r>
          </w:p>
        </w:tc>
      </w:tr>
      <w:tr>
        <w:trPr>
          <w:trHeight w:val="230"/>
        </w:trPr>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distribution of the New Notes issued to you;</w:t>
            </w:r>
          </w:p>
        </w:tc>
      </w:tr>
      <w:tr>
        <w:trPr>
          <w:trHeight w:val="323"/>
        </w:trPr>
        <w:tc>
          <w:tcPr>
            <w:tcW w:w="3020" w:type="dxa"/>
            <w:vAlign w:val="bottom"/>
          </w:tcPr>
          <w:p>
            <w:pPr>
              <w:spacing w:after="0"/>
              <w:rPr>
                <w:sz w:val="24"/>
                <w:szCs w:val="24"/>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you are not an “affiliate” of ours within the meaning of</w:t>
            </w:r>
          </w:p>
        </w:tc>
      </w:tr>
      <w:tr>
        <w:trPr>
          <w:trHeight w:val="230"/>
        </w:trPr>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Rule 405 under the Securities Act; and</w:t>
            </w:r>
          </w:p>
        </w:tc>
      </w:tr>
      <w:tr>
        <w:trPr>
          <w:trHeight w:val="323"/>
        </w:trPr>
        <w:tc>
          <w:tcPr>
            <w:tcW w:w="3020" w:type="dxa"/>
            <w:vAlign w:val="bottom"/>
          </w:tcPr>
          <w:p>
            <w:pPr>
              <w:spacing w:after="0"/>
              <w:rPr>
                <w:sz w:val="24"/>
                <w:szCs w:val="24"/>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w w:val="96"/>
              </w:rPr>
              <w:t>you are not acting on behalf of any person who could not</w:t>
            </w:r>
          </w:p>
        </w:tc>
      </w:tr>
      <w:tr>
        <w:trPr>
          <w:trHeight w:val="230"/>
        </w:trPr>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5"/>
          </w:tcPr>
          <w:p>
            <w:pPr>
              <w:ind w:left="140"/>
              <w:spacing w:after="0"/>
              <w:rPr>
                <w:sz w:val="20"/>
                <w:szCs w:val="20"/>
                <w:color w:val="auto"/>
              </w:rPr>
            </w:pPr>
            <w:r>
              <w:rPr>
                <w:rFonts w:ascii="Arial" w:cs="Arial" w:eastAsia="Arial" w:hAnsi="Arial"/>
                <w:sz w:val="18"/>
                <w:szCs w:val="18"/>
                <w:color w:val="auto"/>
              </w:rPr>
              <w:t>truthfully make these statements.</w:t>
            </w:r>
          </w:p>
        </w:tc>
      </w:tr>
      <w:tr>
        <w:trPr>
          <w:trHeight w:val="337"/>
        </w:trPr>
        <w:tc>
          <w:tcPr>
            <w:tcW w:w="3020" w:type="dxa"/>
            <w:vAlign w:val="bottom"/>
          </w:tcPr>
          <w:p>
            <w:pPr>
              <w:spacing w:after="0"/>
              <w:rPr>
                <w:sz w:val="24"/>
                <w:szCs w:val="24"/>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w w:val="98"/>
              </w:rPr>
              <w:t>Our belief that transfers of New Notes would be permitted without</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8"/>
              </w:rPr>
              <w:t>registration or prospectus delivery under the conditions described</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8"/>
              </w:rPr>
              <w:t>above is based on interpretations by the staff of the SEC given to</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6"/>
              </w:rPr>
              <w:t>other, unrelated issuers in similar exchange offers. The staff of the</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6"/>
              </w:rPr>
              <w:t>SEC has not considered this exchange offer in the context of a no-</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rPr>
              <w:t>action letter, and we cannot assure you that the staff of the SEC</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9"/>
              </w:rPr>
              <w:t>would make a similar interpretation with respect to our exchange</w:t>
            </w:r>
          </w:p>
        </w:tc>
      </w:tr>
      <w:tr>
        <w:trPr>
          <w:trHeight w:val="230"/>
        </w:trPr>
        <w:tc>
          <w:tcPr>
            <w:tcW w:w="302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offer.</w:t>
            </w:r>
          </w:p>
        </w:tc>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3020" w:type="dxa"/>
            <w:vAlign w:val="bottom"/>
          </w:tcPr>
          <w:p>
            <w:pPr>
              <w:spacing w:after="0"/>
              <w:rPr>
                <w:sz w:val="24"/>
                <w:szCs w:val="24"/>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If our belief is not accurate and you transfer a New Note without</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6"/>
              </w:rPr>
              <w:t>delivering a prospectus meeting the requirements of the Securities</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rPr>
              <w:t>Act or without an exemption from such requirements, you may</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rPr>
              <w:t>incur liability under the Securities Act. We do not and will not</w:t>
            </w:r>
          </w:p>
        </w:tc>
      </w:tr>
      <w:tr>
        <w:trPr>
          <w:trHeight w:val="230"/>
        </w:trPr>
        <w:tc>
          <w:tcPr>
            <w:tcW w:w="3020" w:type="dxa"/>
            <w:vAlign w:val="bottom"/>
          </w:tcPr>
          <w:p>
            <w:pPr>
              <w:spacing w:after="0"/>
              <w:rPr>
                <w:sz w:val="20"/>
                <w:szCs w:val="20"/>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assume, or indemnify you against, such liability.</w:t>
            </w:r>
          </w:p>
        </w:tc>
      </w:tr>
      <w:tr>
        <w:trPr>
          <w:trHeight w:val="323"/>
        </w:trPr>
        <w:tc>
          <w:tcPr>
            <w:tcW w:w="3020" w:type="dxa"/>
            <w:vAlign w:val="bottom"/>
          </w:tcPr>
          <w:p>
            <w:pPr>
              <w:spacing w:after="0"/>
              <w:rPr>
                <w:sz w:val="24"/>
                <w:szCs w:val="24"/>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Each broker-dealer that receives New Notes for its own account</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rPr>
              <w:t>under the exchange offer in exchange for Old Notes that were</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5"/>
              </w:rPr>
              <w:t>acquired by the broker-dealer as a result of market-making or other</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9"/>
              </w:rPr>
              <w:t>trading activity must acknowledge that it will deliver a prospectus</w:t>
            </w:r>
          </w:p>
        </w:tc>
      </w:tr>
      <w:tr>
        <w:trPr>
          <w:trHeight w:val="203"/>
        </w:trPr>
        <w:tc>
          <w:tcPr>
            <w:tcW w:w="3020" w:type="dxa"/>
            <w:vAlign w:val="bottom"/>
          </w:tcPr>
          <w:p>
            <w:pPr>
              <w:spacing w:after="0"/>
              <w:rPr>
                <w:sz w:val="17"/>
                <w:szCs w:val="17"/>
                <w:color w:val="auto"/>
              </w:rPr>
            </w:pPr>
          </w:p>
        </w:tc>
        <w:tc>
          <w:tcPr>
            <w:tcW w:w="5120" w:type="dxa"/>
            <w:vAlign w:val="bottom"/>
            <w:gridSpan w:val="7"/>
          </w:tcPr>
          <w:p>
            <w:pPr>
              <w:spacing w:after="0" w:line="202" w:lineRule="exact"/>
              <w:rPr>
                <w:sz w:val="20"/>
                <w:szCs w:val="20"/>
                <w:color w:val="auto"/>
              </w:rPr>
            </w:pPr>
            <w:r>
              <w:rPr>
                <w:rFonts w:ascii="Arial" w:cs="Arial" w:eastAsia="Arial" w:hAnsi="Arial"/>
                <w:sz w:val="18"/>
                <w:szCs w:val="18"/>
                <w:color w:val="auto"/>
                <w:w w:val="98"/>
              </w:rPr>
              <w:t>meeting the requirements of the Securities Act in connection with</w:t>
            </w:r>
          </w:p>
        </w:tc>
      </w:tr>
      <w:tr>
        <w:trPr>
          <w:trHeight w:val="230"/>
        </w:trPr>
        <w:tc>
          <w:tcPr>
            <w:tcW w:w="3020" w:type="dxa"/>
            <w:vAlign w:val="bottom"/>
          </w:tcPr>
          <w:p>
            <w:pPr>
              <w:spacing w:after="0"/>
              <w:rPr>
                <w:sz w:val="20"/>
                <w:szCs w:val="20"/>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rPr>
              <w:t>any resale of the New Notes.</w:t>
            </w:r>
          </w:p>
        </w:tc>
      </w:tr>
      <w:tr>
        <w:trPr>
          <w:trHeight w:val="310"/>
        </w:trPr>
        <w:tc>
          <w:tcPr>
            <w:tcW w:w="3020" w:type="dxa"/>
            <w:vAlign w:val="bottom"/>
          </w:tcPr>
          <w:p>
            <w:pPr>
              <w:spacing w:after="0"/>
              <w:rPr>
                <w:sz w:val="24"/>
                <w:szCs w:val="24"/>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w w:val="99"/>
              </w:rPr>
              <w:t>See “The Exchange Offer — Eligibility; Transferability” and “Plan</w:t>
            </w:r>
          </w:p>
        </w:tc>
      </w:tr>
      <w:tr>
        <w:trPr>
          <w:trHeight w:val="183"/>
        </w:trPr>
        <w:tc>
          <w:tcPr>
            <w:tcW w:w="3020" w:type="dxa"/>
            <w:vAlign w:val="bottom"/>
          </w:tcPr>
          <w:p>
            <w:pPr>
              <w:spacing w:after="0"/>
              <w:rPr>
                <w:sz w:val="15"/>
                <w:szCs w:val="15"/>
                <w:color w:val="auto"/>
              </w:rPr>
            </w:pPr>
          </w:p>
        </w:tc>
        <w:tc>
          <w:tcPr>
            <w:tcW w:w="400" w:type="dxa"/>
            <w:vAlign w:val="bottom"/>
          </w:tcPr>
          <w:p>
            <w:pPr>
              <w:spacing w:after="0" w:line="182" w:lineRule="exact"/>
              <w:rPr>
                <w:sz w:val="20"/>
                <w:szCs w:val="20"/>
                <w:color w:val="auto"/>
              </w:rPr>
            </w:pPr>
            <w:r>
              <w:rPr>
                <w:rFonts w:ascii="Arial" w:cs="Arial" w:eastAsia="Arial" w:hAnsi="Arial"/>
                <w:sz w:val="18"/>
                <w:szCs w:val="18"/>
                <w:color w:val="auto"/>
              </w:rPr>
              <w:t>of</w:t>
            </w:r>
          </w:p>
        </w:tc>
        <w:tc>
          <w:tcPr>
            <w:tcW w:w="378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auto"/>
              </w:rPr>
              <w:t>Distribution.”</w:t>
            </w:r>
          </w:p>
        </w:tc>
        <w:tc>
          <w:tcPr>
            <w:tcW w:w="5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13"/>
        </w:trPr>
        <w:tc>
          <w:tcPr>
            <w:tcW w:w="3020" w:type="dxa"/>
            <w:vAlign w:val="bottom"/>
          </w:tcPr>
          <w:p>
            <w:pPr>
              <w:spacing w:after="0"/>
              <w:rPr>
                <w:sz w:val="20"/>
                <w:szCs w:val="20"/>
                <w:color w:val="auto"/>
              </w:rPr>
            </w:pPr>
            <w:r>
              <w:rPr>
                <w:rFonts w:ascii="Arial" w:cs="Arial" w:eastAsia="Arial" w:hAnsi="Arial"/>
                <w:sz w:val="18"/>
                <w:szCs w:val="18"/>
                <w:b w:val="1"/>
                <w:bCs w:val="1"/>
                <w:color w:val="auto"/>
              </w:rPr>
              <w:t>Consequences of Failing to</w:t>
            </w:r>
          </w:p>
        </w:tc>
        <w:tc>
          <w:tcPr>
            <w:tcW w:w="4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Exchange Old Notes</w:t>
            </w:r>
          </w:p>
        </w:tc>
        <w:tc>
          <w:tcPr>
            <w:tcW w:w="5120" w:type="dxa"/>
            <w:vAlign w:val="bottom"/>
            <w:gridSpan w:val="7"/>
          </w:tcPr>
          <w:p>
            <w:pPr>
              <w:spacing w:after="0"/>
              <w:rPr>
                <w:sz w:val="20"/>
                <w:szCs w:val="20"/>
                <w:color w:val="auto"/>
              </w:rPr>
            </w:pPr>
            <w:r>
              <w:rPr>
                <w:rFonts w:ascii="Arial" w:cs="Arial" w:eastAsia="Arial" w:hAnsi="Arial"/>
                <w:sz w:val="18"/>
                <w:szCs w:val="18"/>
                <w:color w:val="auto"/>
              </w:rPr>
              <w:t>Any Old Notes that are not exchanged in the exchange offer will</w:t>
            </w:r>
          </w:p>
        </w:tc>
      </w:tr>
      <w:tr>
        <w:trPr>
          <w:trHeight w:val="230"/>
        </w:trPr>
        <w:tc>
          <w:tcPr>
            <w:tcW w:w="3020" w:type="dxa"/>
            <w:vAlign w:val="bottom"/>
          </w:tcPr>
          <w:p>
            <w:pPr>
              <w:spacing w:after="0"/>
              <w:rPr>
                <w:sz w:val="20"/>
                <w:szCs w:val="20"/>
                <w:color w:val="auto"/>
              </w:rPr>
            </w:pPr>
          </w:p>
        </w:tc>
        <w:tc>
          <w:tcPr>
            <w:tcW w:w="5120" w:type="dxa"/>
            <w:vAlign w:val="bottom"/>
            <w:gridSpan w:val="7"/>
          </w:tcPr>
          <w:p>
            <w:pPr>
              <w:spacing w:after="0"/>
              <w:rPr>
                <w:sz w:val="20"/>
                <w:szCs w:val="20"/>
                <w:color w:val="auto"/>
              </w:rPr>
            </w:pPr>
            <w:r>
              <w:rPr>
                <w:rFonts w:ascii="Arial" w:cs="Arial" w:eastAsia="Arial" w:hAnsi="Arial"/>
                <w:sz w:val="18"/>
                <w:szCs w:val="18"/>
                <w:color w:val="auto"/>
                <w:w w:val="96"/>
              </w:rPr>
              <w:t>continue to be governed by the indenture relating to the Old Notes</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31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7"/>
              </w:rPr>
              <w:t>and the terms of the Old Notes. Old Notes that are not exchanged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9"/>
              </w:rPr>
              <w:t>will remain subject to the restrictions on transfer described in the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Old Notes, and you will not be able to offer or sell the Old Notes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6"/>
              </w:rPr>
              <w:t>except under an exemption from the requirements of the Securities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Act or unless the Old Notes are otherwise registered under the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8"/>
              </w:rPr>
              <w:t>Securities Act. Upon the completion of the exchange offer, we will</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have no further obligations to provide for registration of the Old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Notes under the U.S. federal securities laws. If you do not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participate in the exchange offer, the liquidity of your Old Notes</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40" w:type="dxa"/>
            <w:vAlign w:val="bottom"/>
            <w:gridSpan w:val="6"/>
          </w:tcPr>
          <w:p>
            <w:pPr>
              <w:spacing w:after="0" w:line="190" w:lineRule="exact"/>
              <w:rPr>
                <w:sz w:val="20"/>
                <w:szCs w:val="20"/>
                <w:color w:val="auto"/>
              </w:rPr>
            </w:pPr>
            <w:r>
              <w:rPr>
                <w:rFonts w:ascii="Arial" w:cs="Arial" w:eastAsia="Arial" w:hAnsi="Arial"/>
                <w:sz w:val="18"/>
                <w:szCs w:val="18"/>
                <w:color w:val="auto"/>
              </w:rPr>
              <w:t>could be adversely affected. See “The Exchange Offer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5140" w:type="dxa"/>
            <w:vAlign w:val="bottom"/>
            <w:gridSpan w:val="6"/>
          </w:tcPr>
          <w:p>
            <w:pPr>
              <w:spacing w:after="0" w:line="196" w:lineRule="exact"/>
              <w:rPr>
                <w:sz w:val="20"/>
                <w:szCs w:val="20"/>
                <w:color w:val="auto"/>
              </w:rPr>
            </w:pPr>
            <w:r>
              <w:rPr>
                <w:rFonts w:ascii="Arial" w:cs="Arial" w:eastAsia="Arial" w:hAnsi="Arial"/>
                <w:sz w:val="18"/>
                <w:szCs w:val="18"/>
                <w:color w:val="auto"/>
              </w:rPr>
              <w:t>Consequences of Failure to Exchange.”</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Use of Proceeds</w:t>
            </w:r>
          </w:p>
        </w:tc>
        <w:tc>
          <w:tcPr>
            <w:tcW w:w="860" w:type="dxa"/>
            <w:vAlign w:val="bottom"/>
            <w:shd w:val="clear" w:color="auto" w:fill="000000"/>
          </w:tcPr>
          <w:p>
            <w:pPr>
              <w:spacing w:after="0" w:line="20" w:lineRule="exact"/>
              <w:rPr>
                <w:sz w:val="1"/>
                <w:szCs w:val="1"/>
                <w:color w:val="auto"/>
              </w:rPr>
            </w:pPr>
          </w:p>
        </w:tc>
        <w:tc>
          <w:tcPr>
            <w:tcW w:w="198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020" w:type="dxa"/>
            <w:vAlign w:val="bottom"/>
            <w:vMerge w:val="continue"/>
          </w:tcPr>
          <w:p>
            <w:pPr>
              <w:spacing w:after="0"/>
              <w:rPr>
                <w:sz w:val="24"/>
                <w:szCs w:val="24"/>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9"/>
              </w:rPr>
              <w:t>We will not receive any cash proceeds from the exchange of Old</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Notes for New Notes as a result of the exchange offer.</w:t>
            </w:r>
          </w:p>
        </w:tc>
        <w:tc>
          <w:tcPr>
            <w:tcW w:w="0" w:type="dxa"/>
            <w:vAlign w:val="bottom"/>
          </w:tcPr>
          <w:p>
            <w:pPr>
              <w:spacing w:after="0"/>
              <w:rPr>
                <w:sz w:val="1"/>
                <w:szCs w:val="1"/>
                <w:color w:val="auto"/>
              </w:rPr>
            </w:pPr>
          </w:p>
        </w:tc>
      </w:tr>
      <w:tr>
        <w:trPr>
          <w:trHeight w:val="306"/>
        </w:trPr>
        <w:tc>
          <w:tcPr>
            <w:tcW w:w="3020" w:type="dxa"/>
            <w:vAlign w:val="bottom"/>
          </w:tcPr>
          <w:p>
            <w:pPr>
              <w:spacing w:after="0"/>
              <w:rPr>
                <w:sz w:val="20"/>
                <w:szCs w:val="20"/>
                <w:color w:val="auto"/>
              </w:rPr>
            </w:pPr>
            <w:r>
              <w:rPr>
                <w:rFonts w:ascii="Arial" w:cs="Arial" w:eastAsia="Arial" w:hAnsi="Arial"/>
                <w:sz w:val="18"/>
                <w:szCs w:val="18"/>
                <w:b w:val="1"/>
                <w:bCs w:val="1"/>
                <w:color w:val="auto"/>
              </w:rPr>
              <w:t>Cancellation of Exchanged Old</w:t>
            </w:r>
          </w:p>
        </w:tc>
        <w:tc>
          <w:tcPr>
            <w:tcW w:w="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Notes</w:t>
            </w:r>
          </w:p>
        </w:tc>
        <w:tc>
          <w:tcPr>
            <w:tcW w:w="5140" w:type="dxa"/>
            <w:vAlign w:val="bottom"/>
            <w:gridSpan w:val="6"/>
          </w:tcPr>
          <w:p>
            <w:pPr>
              <w:spacing w:after="0"/>
              <w:rPr>
                <w:sz w:val="20"/>
                <w:szCs w:val="20"/>
                <w:color w:val="auto"/>
              </w:rPr>
            </w:pPr>
            <w:r>
              <w:rPr>
                <w:rFonts w:ascii="Arial" w:cs="Arial" w:eastAsia="Arial" w:hAnsi="Arial"/>
                <w:sz w:val="18"/>
                <w:szCs w:val="18"/>
                <w:color w:val="auto"/>
                <w:w w:val="97"/>
              </w:rPr>
              <w:t>Old Notes that are surrendered in exchange for New Notes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8"/>
              </w:rPr>
              <w:t>retired and cancelled by us upon receipt and will not be reissued.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9"/>
              </w:rPr>
              <w:t>Accordingly, the issuance of the New Notes under this exchange</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95"/>
              </w:rPr>
              <w:t>offer will not result in any increase in our outstanding indebtedness.</w:t>
            </w:r>
          </w:p>
        </w:tc>
        <w:tc>
          <w:tcPr>
            <w:tcW w:w="0" w:type="dxa"/>
            <w:vAlign w:val="bottom"/>
          </w:tcPr>
          <w:p>
            <w:pPr>
              <w:spacing w:after="0"/>
              <w:rPr>
                <w:sz w:val="1"/>
                <w:szCs w:val="1"/>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b w:val="1"/>
                <w:bCs w:val="1"/>
                <w:color w:val="auto"/>
              </w:rPr>
              <w:t>Exchange Agent</w:t>
            </w:r>
          </w:p>
        </w:tc>
        <w:tc>
          <w:tcPr>
            <w:tcW w:w="5140" w:type="dxa"/>
            <w:vAlign w:val="bottom"/>
            <w:gridSpan w:val="6"/>
          </w:tcPr>
          <w:p>
            <w:pPr>
              <w:spacing w:after="0"/>
              <w:rPr>
                <w:sz w:val="20"/>
                <w:szCs w:val="20"/>
                <w:color w:val="auto"/>
              </w:rPr>
            </w:pPr>
            <w:r>
              <w:rPr>
                <w:rFonts w:ascii="Arial" w:cs="Arial" w:eastAsia="Arial" w:hAnsi="Arial"/>
                <w:sz w:val="18"/>
                <w:szCs w:val="18"/>
                <w:color w:val="auto"/>
                <w:w w:val="96"/>
              </w:rPr>
              <w:t>UMB Bank, NA is serving as the exchange agent for this exchange</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40" w:type="dxa"/>
            <w:vAlign w:val="bottom"/>
            <w:gridSpan w:val="6"/>
          </w:tcPr>
          <w:p>
            <w:pPr>
              <w:spacing w:after="0" w:line="190" w:lineRule="exact"/>
              <w:rPr>
                <w:sz w:val="20"/>
                <w:szCs w:val="20"/>
                <w:color w:val="auto"/>
              </w:rPr>
            </w:pPr>
            <w:r>
              <w:rPr>
                <w:rFonts w:ascii="Arial" w:cs="Arial" w:eastAsia="Arial" w:hAnsi="Arial"/>
                <w:sz w:val="18"/>
                <w:szCs w:val="18"/>
                <w:color w:val="auto"/>
                <w:w w:val="94"/>
              </w:rPr>
              <w:t>offer. See “The Exchange Offer — Exchange Agent” for the address</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40" w:type="dxa"/>
            <w:vAlign w:val="bottom"/>
            <w:gridSpan w:val="3"/>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and telephone number of the exchange agent.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of the New Notes</w:t>
      </w:r>
    </w:p>
    <w:p>
      <w:pPr>
        <w:spacing w:after="0" w:line="148" w:lineRule="exact"/>
        <w:rPr>
          <w:sz w:val="20"/>
          <w:szCs w:val="20"/>
          <w:color w:val="auto"/>
        </w:rPr>
      </w:pPr>
    </w:p>
    <w:p>
      <w:pPr>
        <w:ind w:left="1280" w:right="459" w:firstLine="360"/>
        <w:spacing w:after="0" w:line="270" w:lineRule="auto"/>
        <w:rPr>
          <w:sz w:val="20"/>
          <w:szCs w:val="20"/>
          <w:color w:val="auto"/>
        </w:rPr>
      </w:pPr>
      <w:r>
        <w:rPr>
          <w:rFonts w:ascii="Arial" w:cs="Arial" w:eastAsia="Arial" w:hAnsi="Arial"/>
          <w:sz w:val="17"/>
          <w:szCs w:val="17"/>
          <w:color w:val="auto"/>
        </w:rPr>
        <w:t>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The New Notes will evidence the same debt as the Old Notes and will be governed by the same indenture under which the Old Notes were issued. Please refer to the section “</w:t>
      </w:r>
      <w:r>
        <w:rPr>
          <w:rFonts w:ascii="Arial" w:cs="Arial" w:eastAsia="Arial" w:hAnsi="Arial"/>
          <w:sz w:val="17"/>
          <w:szCs w:val="17"/>
          <w:u w:val="single" w:color="auto"/>
          <w:color w:val="auto"/>
        </w:rPr>
        <w:t>Description of the Notes</w:t>
      </w:r>
      <w:r>
        <w:rPr>
          <w:rFonts w:ascii="Arial" w:cs="Arial" w:eastAsia="Arial" w:hAnsi="Arial"/>
          <w:sz w:val="17"/>
          <w:szCs w:val="17"/>
          <w:color w:val="auto"/>
        </w:rPr>
        <w:t>” for a more complete description of the terms of the New Notes. References in this prospectus to the “notes” include both the Old Notes and the New Notes unless otherwise specified or the context otherwise requires.</w:t>
      </w:r>
    </w:p>
    <w:p>
      <w:pPr>
        <w:spacing w:after="0" w:line="69"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5160" w:type="dxa"/>
            <w:vAlign w:val="bottom"/>
            <w:gridSpan w:val="5"/>
          </w:tcPr>
          <w:p>
            <w:pPr>
              <w:spacing w:after="0"/>
              <w:rPr>
                <w:sz w:val="20"/>
                <w:szCs w:val="20"/>
                <w:color w:val="auto"/>
              </w:rPr>
            </w:pPr>
            <w:r>
              <w:rPr>
                <w:rFonts w:ascii="Arial" w:cs="Arial" w:eastAsia="Arial" w:hAnsi="Arial"/>
                <w:sz w:val="18"/>
                <w:szCs w:val="18"/>
                <w:color w:val="auto"/>
              </w:rPr>
              <w:t>Arbor Realty Trust, Inc.</w:t>
            </w:r>
          </w:p>
        </w:tc>
        <w:tc>
          <w:tcPr>
            <w:tcW w:w="0" w:type="dxa"/>
            <w:vAlign w:val="bottom"/>
          </w:tcPr>
          <w:p>
            <w:pPr>
              <w:spacing w:after="0"/>
              <w:rPr>
                <w:sz w:val="1"/>
                <w:szCs w:val="1"/>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5160" w:type="dxa"/>
            <w:vAlign w:val="bottom"/>
            <w:gridSpan w:val="5"/>
          </w:tcPr>
          <w:p>
            <w:pPr>
              <w:spacing w:after="0"/>
              <w:rPr>
                <w:sz w:val="20"/>
                <w:szCs w:val="20"/>
                <w:color w:val="auto"/>
              </w:rPr>
            </w:pPr>
            <w:r>
              <w:rPr>
                <w:rFonts w:ascii="Arial" w:cs="Arial" w:eastAsia="Arial" w:hAnsi="Arial"/>
                <w:sz w:val="18"/>
                <w:szCs w:val="18"/>
                <w:color w:val="auto"/>
              </w:rPr>
              <w:t>5.00% Senior Notes due 2026.</w:t>
            </w:r>
          </w:p>
        </w:tc>
        <w:tc>
          <w:tcPr>
            <w:tcW w:w="0" w:type="dxa"/>
            <w:vAlign w:val="bottom"/>
          </w:tcPr>
          <w:p>
            <w:pPr>
              <w:spacing w:after="0"/>
              <w:rPr>
                <w:sz w:val="1"/>
                <w:szCs w:val="1"/>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Aggregate Principal Amount</w:t>
            </w:r>
          </w:p>
        </w:tc>
        <w:tc>
          <w:tcPr>
            <w:tcW w:w="5160" w:type="dxa"/>
            <w:vAlign w:val="bottom"/>
            <w:gridSpan w:val="5"/>
          </w:tcPr>
          <w:p>
            <w:pPr>
              <w:spacing w:after="0"/>
              <w:rPr>
                <w:sz w:val="20"/>
                <w:szCs w:val="20"/>
                <w:color w:val="auto"/>
              </w:rPr>
            </w:pPr>
            <w:r>
              <w:rPr>
                <w:rFonts w:ascii="Arial" w:cs="Arial" w:eastAsia="Arial" w:hAnsi="Arial"/>
                <w:sz w:val="18"/>
                <w:szCs w:val="18"/>
                <w:color w:val="auto"/>
              </w:rPr>
              <w:t>Up to $165,000,000.</w:t>
            </w:r>
          </w:p>
        </w:tc>
        <w:tc>
          <w:tcPr>
            <w:tcW w:w="0" w:type="dxa"/>
            <w:vAlign w:val="bottom"/>
          </w:tcPr>
          <w:p>
            <w:pPr>
              <w:spacing w:after="0"/>
              <w:rPr>
                <w:sz w:val="1"/>
                <w:szCs w:val="1"/>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160" w:type="dxa"/>
            <w:vAlign w:val="bottom"/>
            <w:gridSpan w:val="5"/>
          </w:tcPr>
          <w:p>
            <w:pPr>
              <w:spacing w:after="0"/>
              <w:rPr>
                <w:sz w:val="20"/>
                <w:szCs w:val="20"/>
                <w:color w:val="auto"/>
              </w:rPr>
            </w:pPr>
            <w:r>
              <w:rPr>
                <w:rFonts w:ascii="Arial" w:cs="Arial" w:eastAsia="Arial" w:hAnsi="Arial"/>
                <w:sz w:val="18"/>
                <w:szCs w:val="18"/>
                <w:color w:val="auto"/>
              </w:rPr>
              <w:t>April 30, 2026, unless previously redeemed.</w:t>
            </w:r>
          </w:p>
        </w:tc>
        <w:tc>
          <w:tcPr>
            <w:tcW w:w="0" w:type="dxa"/>
            <w:vAlign w:val="bottom"/>
          </w:tcPr>
          <w:p>
            <w:pPr>
              <w:spacing w:after="0"/>
              <w:rPr>
                <w:sz w:val="1"/>
                <w:szCs w:val="1"/>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5160" w:type="dxa"/>
            <w:vAlign w:val="bottom"/>
            <w:gridSpan w:val="5"/>
          </w:tcPr>
          <w:p>
            <w:pPr>
              <w:spacing w:after="0"/>
              <w:rPr>
                <w:sz w:val="20"/>
                <w:szCs w:val="20"/>
                <w:color w:val="auto"/>
              </w:rPr>
            </w:pPr>
            <w:r>
              <w:rPr>
                <w:rFonts w:ascii="Arial" w:cs="Arial" w:eastAsia="Arial" w:hAnsi="Arial"/>
                <w:sz w:val="18"/>
                <w:szCs w:val="18"/>
                <w:color w:val="auto"/>
              </w:rPr>
              <w:t>5.00% per annum, subject to adjustment from time to time as</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60" w:type="dxa"/>
            <w:vAlign w:val="bottom"/>
            <w:gridSpan w:val="5"/>
          </w:tcPr>
          <w:p>
            <w:pPr>
              <w:spacing w:after="0" w:line="190" w:lineRule="exact"/>
              <w:rPr>
                <w:sz w:val="20"/>
                <w:szCs w:val="20"/>
                <w:color w:val="auto"/>
              </w:rPr>
            </w:pPr>
            <w:r>
              <w:rPr>
                <w:rFonts w:ascii="Arial" w:cs="Arial" w:eastAsia="Arial" w:hAnsi="Arial"/>
                <w:sz w:val="18"/>
                <w:szCs w:val="18"/>
                <w:color w:val="auto"/>
                <w:w w:val="96"/>
              </w:rPr>
              <w:t>described under “Description of the Notes — Maturity and Interest.”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Interest Payment Dates</w:t>
            </w:r>
          </w:p>
        </w:tc>
        <w:tc>
          <w:tcPr>
            <w:tcW w:w="13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020" w:type="dxa"/>
            <w:vAlign w:val="bottom"/>
            <w:vMerge w:val="continue"/>
          </w:tcPr>
          <w:p>
            <w:pPr>
              <w:spacing w:after="0"/>
              <w:rPr>
                <w:sz w:val="24"/>
                <w:szCs w:val="24"/>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April 30 and October 30 of each year, beginning on</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October 30, 2021.</w:t>
            </w:r>
          </w:p>
        </w:tc>
        <w:tc>
          <w:tcPr>
            <w:tcW w:w="0" w:type="dxa"/>
            <w:vAlign w:val="bottom"/>
          </w:tcPr>
          <w:p>
            <w:pPr>
              <w:spacing w:after="0"/>
              <w:rPr>
                <w:sz w:val="1"/>
                <w:szCs w:val="1"/>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b w:val="1"/>
                <w:bCs w:val="1"/>
                <w:color w:val="auto"/>
              </w:rPr>
              <w:t>No Guarantees</w:t>
            </w:r>
          </w:p>
        </w:tc>
        <w:tc>
          <w:tcPr>
            <w:tcW w:w="5160" w:type="dxa"/>
            <w:vAlign w:val="bottom"/>
            <w:gridSpan w:val="5"/>
          </w:tcPr>
          <w:p>
            <w:pPr>
              <w:spacing w:after="0"/>
              <w:rPr>
                <w:sz w:val="20"/>
                <w:szCs w:val="20"/>
                <w:color w:val="auto"/>
              </w:rPr>
            </w:pPr>
            <w:r>
              <w:rPr>
                <w:rFonts w:ascii="Arial" w:cs="Arial" w:eastAsia="Arial" w:hAnsi="Arial"/>
                <w:sz w:val="18"/>
                <w:szCs w:val="18"/>
                <w:color w:val="auto"/>
              </w:rPr>
              <w:t>At issuance, the New Notes will not be guaranteed by any of our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w w:val="94"/>
              </w:rPr>
              <w:t>subsidiaries, however our subsidiaries may be required to guarantee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w w:val="95"/>
              </w:rPr>
              <w:t>the New Notes in the future under the circumstances set forth in the</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60" w:type="dxa"/>
            <w:vAlign w:val="bottom"/>
            <w:gridSpan w:val="5"/>
          </w:tcPr>
          <w:p>
            <w:pPr>
              <w:spacing w:after="0" w:line="190" w:lineRule="exact"/>
              <w:rPr>
                <w:sz w:val="20"/>
                <w:szCs w:val="20"/>
                <w:color w:val="auto"/>
              </w:rPr>
            </w:pPr>
            <w:r>
              <w:rPr>
                <w:rFonts w:ascii="Arial" w:cs="Arial" w:eastAsia="Arial" w:hAnsi="Arial"/>
                <w:sz w:val="18"/>
                <w:szCs w:val="18"/>
                <w:color w:val="auto"/>
              </w:rPr>
              <w:t>covenant described under “Description of the Notes — Possible</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2060" w:type="dxa"/>
            <w:vAlign w:val="bottom"/>
            <w:gridSpan w:val="2"/>
          </w:tcPr>
          <w:p>
            <w:pPr>
              <w:spacing w:after="0" w:line="196" w:lineRule="exact"/>
              <w:rPr>
                <w:sz w:val="20"/>
                <w:szCs w:val="20"/>
                <w:color w:val="auto"/>
              </w:rPr>
            </w:pPr>
            <w:r>
              <w:rPr>
                <w:rFonts w:ascii="Arial" w:cs="Arial" w:eastAsia="Arial" w:hAnsi="Arial"/>
                <w:sz w:val="18"/>
                <w:szCs w:val="18"/>
                <w:color w:val="auto"/>
              </w:rPr>
              <w:t>Future Guarantees.”</w:t>
            </w:r>
          </w:p>
        </w:tc>
        <w:tc>
          <w:tcPr>
            <w:tcW w:w="2740" w:type="dxa"/>
            <w:vAlign w:val="bottom"/>
            <w:tcBorders>
              <w:top w:val="single" w:sz="8" w:color="auto"/>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3020" w:type="dxa"/>
            <w:vAlign w:val="bottom"/>
          </w:tcPr>
          <w:p>
            <w:pPr>
              <w:spacing w:after="0"/>
              <w:rPr>
                <w:sz w:val="20"/>
                <w:szCs w:val="20"/>
                <w:color w:val="auto"/>
              </w:rPr>
            </w:pPr>
            <w:r>
              <w:rPr>
                <w:rFonts w:ascii="Arial" w:cs="Arial" w:eastAsia="Arial" w:hAnsi="Arial"/>
                <w:sz w:val="18"/>
                <w:szCs w:val="18"/>
                <w:b w:val="1"/>
                <w:bCs w:val="1"/>
                <w:color w:val="auto"/>
              </w:rPr>
              <w:t>Security and Ranking</w:t>
            </w:r>
          </w:p>
        </w:tc>
        <w:tc>
          <w:tcPr>
            <w:tcW w:w="5160" w:type="dxa"/>
            <w:vAlign w:val="bottom"/>
            <w:gridSpan w:val="9"/>
          </w:tcPr>
          <w:p>
            <w:pPr>
              <w:spacing w:after="0"/>
              <w:rPr>
                <w:sz w:val="20"/>
                <w:szCs w:val="20"/>
                <w:color w:val="auto"/>
              </w:rPr>
            </w:pPr>
            <w:r>
              <w:rPr>
                <w:rFonts w:ascii="Arial" w:cs="Arial" w:eastAsia="Arial" w:hAnsi="Arial"/>
                <w:sz w:val="18"/>
                <w:szCs w:val="18"/>
                <w:color w:val="auto"/>
              </w:rPr>
              <w:t>The New Notes will be our senior unsecured obligations and</w:t>
            </w:r>
          </w:p>
        </w:tc>
      </w:tr>
      <w:tr>
        <w:trPr>
          <w:trHeight w:val="230"/>
        </w:trPr>
        <w:tc>
          <w:tcPr>
            <w:tcW w:w="3020" w:type="dxa"/>
            <w:vAlign w:val="bottom"/>
          </w:tcPr>
          <w:p>
            <w:pPr>
              <w:spacing w:after="0"/>
              <w:rPr>
                <w:sz w:val="20"/>
                <w:szCs w:val="20"/>
                <w:color w:val="auto"/>
              </w:rPr>
            </w:pPr>
          </w:p>
        </w:tc>
        <w:tc>
          <w:tcPr>
            <w:tcW w:w="5160" w:type="dxa"/>
            <w:vAlign w:val="bottom"/>
            <w:gridSpan w:val="9"/>
          </w:tcPr>
          <w:p>
            <w:pPr>
              <w:spacing w:after="0"/>
              <w:rPr>
                <w:sz w:val="20"/>
                <w:szCs w:val="20"/>
                <w:color w:val="auto"/>
              </w:rPr>
            </w:pPr>
            <w:r>
              <w:rPr>
                <w:rFonts w:ascii="Arial" w:cs="Arial" w:eastAsia="Arial" w:hAnsi="Arial"/>
                <w:sz w:val="18"/>
                <w:szCs w:val="18"/>
                <w:color w:val="auto"/>
              </w:rPr>
              <w:t>will rank:</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7"/>
              </w:rPr>
              <w:t>senior in right of payment to any of our indebtedness that</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8"/>
              </w:rPr>
              <w:t>is expressly subordinated in right of payment to the New</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Notes;</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equal in right of payment to any of our unsecured</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7"/>
              </w:rPr>
              <w:t>indebtedness outstanding from time to time that is not so</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subordinated;</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effectively subordinated to any of our secured</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indebtedness to the extent of the value of the collateral</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securing such indebtedness; and</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structurally subordinated to the existing and future</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indebtedness and other liabilities (including trade</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payables) and preferred equity of our subsidiaries,</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including any of our future indebtedness and other</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liabilities that are guaranteed by our subsidiaries.</w:t>
            </w:r>
          </w:p>
        </w:tc>
      </w:tr>
      <w:tr>
        <w:trPr>
          <w:trHeight w:val="350"/>
        </w:trPr>
        <w:tc>
          <w:tcPr>
            <w:tcW w:w="3020" w:type="dxa"/>
            <w:vAlign w:val="bottom"/>
          </w:tcPr>
          <w:p>
            <w:pPr>
              <w:spacing w:after="0"/>
              <w:rPr>
                <w:sz w:val="24"/>
                <w:szCs w:val="24"/>
                <w:color w:val="auto"/>
              </w:rPr>
            </w:pPr>
          </w:p>
        </w:tc>
        <w:tc>
          <w:tcPr>
            <w:tcW w:w="5160" w:type="dxa"/>
            <w:vAlign w:val="bottom"/>
            <w:gridSpan w:val="9"/>
          </w:tcPr>
          <w:p>
            <w:pPr>
              <w:spacing w:after="0"/>
              <w:rPr>
                <w:sz w:val="20"/>
                <w:szCs w:val="20"/>
                <w:color w:val="auto"/>
              </w:rPr>
            </w:pPr>
            <w:r>
              <w:rPr>
                <w:rFonts w:ascii="Arial" w:cs="Arial" w:eastAsia="Arial" w:hAnsi="Arial"/>
                <w:sz w:val="18"/>
                <w:szCs w:val="18"/>
                <w:color w:val="auto"/>
                <w:w w:val="94"/>
              </w:rPr>
              <w:t>If any of our subsidiaries becomes a guarantor of the New Notes, its</w:t>
            </w:r>
          </w:p>
        </w:tc>
      </w:tr>
      <w:tr>
        <w:trPr>
          <w:trHeight w:val="230"/>
        </w:trPr>
        <w:tc>
          <w:tcPr>
            <w:tcW w:w="3020" w:type="dxa"/>
            <w:vAlign w:val="bottom"/>
          </w:tcPr>
          <w:p>
            <w:pPr>
              <w:spacing w:after="0"/>
              <w:rPr>
                <w:sz w:val="20"/>
                <w:szCs w:val="20"/>
                <w:color w:val="auto"/>
              </w:rPr>
            </w:pPr>
          </w:p>
        </w:tc>
        <w:tc>
          <w:tcPr>
            <w:tcW w:w="5160" w:type="dxa"/>
            <w:vAlign w:val="bottom"/>
            <w:gridSpan w:val="9"/>
          </w:tcPr>
          <w:p>
            <w:pPr>
              <w:spacing w:after="0"/>
              <w:rPr>
                <w:sz w:val="20"/>
                <w:szCs w:val="20"/>
                <w:color w:val="auto"/>
              </w:rPr>
            </w:pPr>
            <w:r>
              <w:rPr>
                <w:rFonts w:ascii="Arial" w:cs="Arial" w:eastAsia="Arial" w:hAnsi="Arial"/>
                <w:sz w:val="18"/>
                <w:szCs w:val="18"/>
                <w:color w:val="auto"/>
              </w:rPr>
              <w:t>guarantee of the New Notes will be:</w:t>
            </w:r>
          </w:p>
        </w:tc>
      </w:tr>
      <w:tr>
        <w:trPr>
          <w:trHeight w:val="365"/>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a senior unsecured obligation of such guarantor;</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rank equally in right of payment with all existing and</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2"/>
              </w:rPr>
              <w:t>future senior unsecured indebtedness and senior unsecured</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guarantees of such guarantor;</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7"/>
              </w:rPr>
              <w:t>effectively subordinated in right of payment to all existing</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1"/>
              </w:rPr>
              <w:t>and future secured indebtedness and secured guarantees of</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w w:val="98"/>
              </w:rPr>
              <w:t>such guarantor to the extent of the value of the collateral</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securing such indebtedness and guarantees; and</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senior in right of payment to any future subordinated</w:t>
            </w:r>
          </w:p>
        </w:tc>
      </w:tr>
      <w:tr>
        <w:trPr>
          <w:trHeight w:val="216"/>
        </w:trPr>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indebtedness and subordinated guarantees of such</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guarantor.</w:t>
            </w: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Certain Covenants</w:t>
            </w:r>
          </w:p>
        </w:tc>
        <w:tc>
          <w:tcPr>
            <w:tcW w:w="5160" w:type="dxa"/>
            <w:vAlign w:val="bottom"/>
            <w:gridSpan w:val="9"/>
          </w:tcPr>
          <w:p>
            <w:pPr>
              <w:spacing w:after="0"/>
              <w:rPr>
                <w:sz w:val="20"/>
                <w:szCs w:val="20"/>
                <w:color w:val="auto"/>
              </w:rPr>
            </w:pPr>
            <w:r>
              <w:rPr>
                <w:rFonts w:ascii="Arial" w:cs="Arial" w:eastAsia="Arial" w:hAnsi="Arial"/>
                <w:sz w:val="18"/>
                <w:szCs w:val="18"/>
                <w:color w:val="auto"/>
              </w:rPr>
              <w:t>The indenture, among other things, requires us to:</w:t>
            </w:r>
          </w:p>
        </w:tc>
      </w:tr>
      <w:tr>
        <w:trPr>
          <w:trHeight w:val="364"/>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maintain a minimum net asset value</w:t>
            </w:r>
          </w:p>
        </w:tc>
      </w:tr>
      <w:tr>
        <w:trPr>
          <w:trHeight w:val="350"/>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maintain a minimum unencumbered asset, senior debt</w:t>
            </w:r>
          </w:p>
        </w:tc>
      </w:tr>
      <w:tr>
        <w:trPr>
          <w:trHeight w:val="230"/>
        </w:trPr>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service coverage ratio and debt to equity ratio</w:t>
            </w:r>
          </w:p>
        </w:tc>
      </w:tr>
      <w:tr>
        <w:trPr>
          <w:trHeight w:val="365"/>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comply with sanctions laws</w:t>
            </w:r>
          </w:p>
        </w:tc>
      </w:tr>
      <w:tr>
        <w:trPr>
          <w:trHeight w:val="365"/>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maintain a rating on the New Notes</w:t>
            </w:r>
          </w:p>
        </w:tc>
      </w:tr>
      <w:tr>
        <w:trPr>
          <w:trHeight w:val="365"/>
        </w:trPr>
        <w:tc>
          <w:tcPr>
            <w:tcW w:w="3020" w:type="dxa"/>
            <w:vAlign w:val="bottom"/>
          </w:tcPr>
          <w:p>
            <w:pPr>
              <w:spacing w:after="0"/>
              <w:rPr>
                <w:sz w:val="24"/>
                <w:szCs w:val="24"/>
                <w:color w:val="auto"/>
              </w:rPr>
            </w:pPr>
          </w:p>
        </w:tc>
        <w:tc>
          <w:tcPr>
            <w:tcW w:w="5160" w:type="dxa"/>
            <w:vAlign w:val="bottom"/>
            <w:gridSpan w:val="9"/>
          </w:tcPr>
          <w:p>
            <w:pPr>
              <w:spacing w:after="0"/>
              <w:rPr>
                <w:sz w:val="20"/>
                <w:szCs w:val="20"/>
                <w:color w:val="auto"/>
              </w:rPr>
            </w:pPr>
            <w:r>
              <w:rPr>
                <w:rFonts w:ascii="Arial" w:cs="Arial" w:eastAsia="Arial" w:hAnsi="Arial"/>
                <w:sz w:val="18"/>
                <w:szCs w:val="18"/>
                <w:color w:val="auto"/>
              </w:rPr>
              <w:t>The indenture also restricts our ability to:</w:t>
            </w:r>
          </w:p>
        </w:tc>
      </w:tr>
      <w:tr>
        <w:trPr>
          <w:trHeight w:val="364"/>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incur liens</w:t>
            </w:r>
          </w:p>
        </w:tc>
      </w:tr>
      <w:tr>
        <w:trPr>
          <w:trHeight w:val="365"/>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engage in affiliate transactions</w:t>
            </w:r>
          </w:p>
        </w:tc>
      </w:tr>
      <w:tr>
        <w:trPr>
          <w:trHeight w:val="364"/>
        </w:trPr>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580" w:type="dxa"/>
            <w:vAlign w:val="bottom"/>
            <w:gridSpan w:val="6"/>
          </w:tcPr>
          <w:p>
            <w:pPr>
              <w:ind w:left="140"/>
              <w:spacing w:after="0"/>
              <w:rPr>
                <w:sz w:val="20"/>
                <w:szCs w:val="20"/>
                <w:color w:val="auto"/>
              </w:rPr>
            </w:pPr>
            <w:r>
              <w:rPr>
                <w:rFonts w:ascii="Arial" w:cs="Arial" w:eastAsia="Arial" w:hAnsi="Arial"/>
                <w:sz w:val="18"/>
                <w:szCs w:val="18"/>
                <w:color w:val="auto"/>
              </w:rPr>
              <w:t>change our business</w:t>
            </w:r>
          </w:p>
        </w:tc>
      </w:tr>
      <w:tr>
        <w:trPr>
          <w:trHeight w:val="311"/>
        </w:trPr>
        <w:tc>
          <w:tcPr>
            <w:tcW w:w="3020" w:type="dxa"/>
            <w:vAlign w:val="bottom"/>
          </w:tcPr>
          <w:p>
            <w:pPr>
              <w:spacing w:after="0"/>
              <w:rPr>
                <w:sz w:val="24"/>
                <w:szCs w:val="24"/>
                <w:color w:val="auto"/>
              </w:rPr>
            </w:pPr>
          </w:p>
        </w:tc>
        <w:tc>
          <w:tcPr>
            <w:tcW w:w="5160" w:type="dxa"/>
            <w:vAlign w:val="bottom"/>
            <w:gridSpan w:val="9"/>
          </w:tcPr>
          <w:p>
            <w:pPr>
              <w:spacing w:after="0"/>
              <w:rPr>
                <w:sz w:val="20"/>
                <w:szCs w:val="20"/>
                <w:color w:val="auto"/>
              </w:rPr>
            </w:pPr>
            <w:r>
              <w:rPr>
                <w:rFonts w:ascii="Arial" w:cs="Arial" w:eastAsia="Arial" w:hAnsi="Arial"/>
                <w:sz w:val="18"/>
                <w:szCs w:val="18"/>
                <w:color w:val="auto"/>
              </w:rPr>
              <w:t>See “Description of the Notes — Restrictive Covenants,”</w:t>
            </w: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5160" w:type="dxa"/>
            <w:vAlign w:val="bottom"/>
            <w:gridSpan w:val="9"/>
          </w:tcPr>
          <w:p>
            <w:pPr>
              <w:spacing w:after="0" w:line="196" w:lineRule="exact"/>
              <w:rPr>
                <w:sz w:val="20"/>
                <w:szCs w:val="20"/>
                <w:color w:val="auto"/>
              </w:rPr>
            </w:pPr>
            <w:r>
              <w:rPr>
                <w:rFonts w:ascii="Arial" w:cs="Arial" w:eastAsia="Arial" w:hAnsi="Arial"/>
                <w:sz w:val="18"/>
                <w:szCs w:val="18"/>
                <w:color w:val="auto"/>
              </w:rPr>
              <w:t>“Description of the Notes — Ranking” and “Description of the</w:t>
            </w:r>
          </w:p>
        </w:tc>
      </w:tr>
      <w:tr>
        <w:trPr>
          <w:trHeight w:val="20"/>
        </w:trPr>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5160" w:type="dxa"/>
            <w:vAlign w:val="bottom"/>
            <w:gridSpan w:val="9"/>
          </w:tcPr>
          <w:p>
            <w:pPr>
              <w:spacing w:after="0" w:line="196" w:lineRule="exact"/>
              <w:rPr>
                <w:sz w:val="20"/>
                <w:szCs w:val="20"/>
                <w:color w:val="auto"/>
              </w:rPr>
            </w:pPr>
            <w:r>
              <w:rPr>
                <w:rFonts w:ascii="Arial" w:cs="Arial" w:eastAsia="Arial" w:hAnsi="Arial"/>
                <w:sz w:val="18"/>
                <w:szCs w:val="18"/>
                <w:color w:val="auto"/>
              </w:rPr>
              <w:t>Notes — Merger, Consolidation or Sale of Assets.”</w:t>
            </w:r>
          </w:p>
        </w:tc>
      </w:tr>
      <w:tr>
        <w:trPr>
          <w:trHeight w:val="20"/>
        </w:trPr>
        <w:tc>
          <w:tcPr>
            <w:tcW w:w="3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39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5"/>
              </w:rPr>
              <w:t>These covenants are subject to a number of important qualifications</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80" w:type="dxa"/>
            <w:vAlign w:val="bottom"/>
            <w:gridSpan w:val="17"/>
          </w:tcPr>
          <w:p>
            <w:pPr>
              <w:spacing w:after="0" w:line="190" w:lineRule="exact"/>
              <w:rPr>
                <w:sz w:val="20"/>
                <w:szCs w:val="20"/>
                <w:color w:val="auto"/>
              </w:rPr>
            </w:pPr>
            <w:r>
              <w:rPr>
                <w:rFonts w:ascii="Arial" w:cs="Arial" w:eastAsia="Arial" w:hAnsi="Arial"/>
                <w:sz w:val="18"/>
                <w:szCs w:val="18"/>
                <w:color w:val="auto"/>
              </w:rPr>
              <w:t>and limitations. See “Description of the Notes — Restrictive</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640" w:type="dxa"/>
            <w:vAlign w:val="bottom"/>
            <w:gridSpan w:val="4"/>
          </w:tcPr>
          <w:p>
            <w:pPr>
              <w:spacing w:after="0" w:line="196" w:lineRule="exact"/>
              <w:rPr>
                <w:sz w:val="20"/>
                <w:szCs w:val="20"/>
                <w:color w:val="auto"/>
              </w:rPr>
            </w:pPr>
            <w:r>
              <w:rPr>
                <w:rFonts w:ascii="Arial" w:cs="Arial" w:eastAsia="Arial" w:hAnsi="Arial"/>
                <w:sz w:val="18"/>
                <w:szCs w:val="18"/>
                <w:color w:val="auto"/>
              </w:rPr>
              <w:t>Covenants.”</w:t>
            </w:r>
          </w:p>
        </w:tc>
        <w:tc>
          <w:tcPr>
            <w:tcW w:w="2920" w:type="dxa"/>
            <w:vAlign w:val="bottom"/>
            <w:tcBorders>
              <w:top w:val="single" w:sz="8" w:color="auto"/>
            </w:tcBorders>
            <w:gridSpan w:val="9"/>
          </w:tcPr>
          <w:p>
            <w:pPr>
              <w:spacing w:after="0"/>
              <w:rPr>
                <w:sz w:val="17"/>
                <w:szCs w:val="17"/>
                <w:color w:val="auto"/>
              </w:rPr>
            </w:pPr>
          </w:p>
        </w:tc>
        <w:tc>
          <w:tcPr>
            <w:tcW w:w="6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Optional Redemption</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020" w:type="dxa"/>
            <w:vAlign w:val="bottom"/>
            <w:vMerge w:val="continue"/>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The New Notes may be redeemed by us, at our option, in whole or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in part, at any time or from time to time prior to January 30, 2026</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80" w:type="dxa"/>
            <w:vAlign w:val="bottom"/>
            <w:gridSpan w:val="17"/>
          </w:tcPr>
          <w:p>
            <w:pPr>
              <w:spacing w:after="0" w:line="190" w:lineRule="exact"/>
              <w:rPr>
                <w:sz w:val="20"/>
                <w:szCs w:val="20"/>
                <w:color w:val="auto"/>
              </w:rPr>
            </w:pPr>
            <w:r>
              <w:rPr>
                <w:rFonts w:ascii="Arial" w:cs="Arial" w:eastAsia="Arial" w:hAnsi="Arial"/>
                <w:sz w:val="18"/>
                <w:szCs w:val="18"/>
                <w:color w:val="auto"/>
              </w:rPr>
              <w:t>(which we refer to as the “Par Call Date”), at a redemption price</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equal to 100% of the aggregate principal amount of the New Notes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to be redeemed, plus a “make-whole” premium plus accrued and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unpaid interest thereon, if any, to, but excluding, the redemption</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date. At any time or from time to time on or after the Par Call Date,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we may redeem the New Notes in whole or in part by paying 100%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4"/>
              </w:rPr>
              <w:t>of the aggregate principal amount of the New Notes to be redeemed,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plus accrued and unpaid interest thereon to, but excluding, the</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80" w:type="dxa"/>
            <w:vAlign w:val="bottom"/>
            <w:gridSpan w:val="17"/>
          </w:tcPr>
          <w:p>
            <w:pPr>
              <w:spacing w:after="0" w:line="190" w:lineRule="exact"/>
              <w:rPr>
                <w:sz w:val="20"/>
                <w:szCs w:val="20"/>
                <w:color w:val="auto"/>
              </w:rPr>
            </w:pPr>
            <w:r>
              <w:rPr>
                <w:rFonts w:ascii="Arial" w:cs="Arial" w:eastAsia="Arial" w:hAnsi="Arial"/>
                <w:sz w:val="18"/>
                <w:szCs w:val="18"/>
                <w:color w:val="auto"/>
              </w:rPr>
              <w:t>redemption date. See “Description of the Notes — Optional</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720" w:type="dxa"/>
            <w:vAlign w:val="bottom"/>
            <w:gridSpan w:val="5"/>
          </w:tcPr>
          <w:p>
            <w:pPr>
              <w:spacing w:after="0" w:line="196" w:lineRule="exact"/>
              <w:rPr>
                <w:sz w:val="20"/>
                <w:szCs w:val="20"/>
                <w:color w:val="auto"/>
              </w:rPr>
            </w:pPr>
            <w:r>
              <w:rPr>
                <w:rFonts w:ascii="Arial" w:cs="Arial" w:eastAsia="Arial" w:hAnsi="Arial"/>
                <w:sz w:val="18"/>
                <w:szCs w:val="18"/>
                <w:color w:val="auto"/>
              </w:rPr>
              <w:t>Redemption.”</w:t>
            </w:r>
          </w:p>
        </w:tc>
        <w:tc>
          <w:tcPr>
            <w:tcW w:w="2780" w:type="dxa"/>
            <w:vAlign w:val="bottom"/>
            <w:tcBorders>
              <w:top w:val="single" w:sz="8" w:color="auto"/>
            </w:tcBorders>
            <w:gridSpan w:val="7"/>
          </w:tcPr>
          <w:p>
            <w:pPr>
              <w:spacing w:after="0"/>
              <w:rPr>
                <w:sz w:val="17"/>
                <w:szCs w:val="17"/>
                <w:color w:val="auto"/>
              </w:rPr>
            </w:pPr>
          </w:p>
        </w:tc>
        <w:tc>
          <w:tcPr>
            <w:tcW w:w="6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Change of Control Offer</w:t>
            </w:r>
          </w:p>
        </w:tc>
        <w:tc>
          <w:tcPr>
            <w:tcW w:w="92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020" w:type="dxa"/>
            <w:vAlign w:val="bottom"/>
            <w:vMerge w:val="continue"/>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8"/>
              </w:rPr>
              <w:t>If a change of control triggering event as described herein occurs,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9"/>
              </w:rPr>
              <w:t>each holder of the New Notes may require us to purchase all or a</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portion of such holder’s notes at a price equal to 101% of their</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8"/>
              </w:rPr>
              <w:t>principal amount, plus accrued and unpaid interest thereon, if any,</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80" w:type="dxa"/>
            <w:vAlign w:val="bottom"/>
            <w:gridSpan w:val="17"/>
          </w:tcPr>
          <w:p>
            <w:pPr>
              <w:spacing w:after="0" w:line="190" w:lineRule="exact"/>
              <w:rPr>
                <w:sz w:val="20"/>
                <w:szCs w:val="20"/>
                <w:color w:val="auto"/>
              </w:rPr>
            </w:pPr>
            <w:r>
              <w:rPr>
                <w:rFonts w:ascii="Arial" w:cs="Arial" w:eastAsia="Arial" w:hAnsi="Arial"/>
                <w:sz w:val="18"/>
                <w:szCs w:val="18"/>
                <w:color w:val="auto"/>
              </w:rPr>
              <w:t>to, but excluding, the date of purchase. See “Description of the</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3400" w:type="dxa"/>
            <w:vAlign w:val="bottom"/>
            <w:gridSpan w:val="9"/>
          </w:tcPr>
          <w:p>
            <w:pPr>
              <w:spacing w:after="0" w:line="196" w:lineRule="exact"/>
              <w:rPr>
                <w:sz w:val="20"/>
                <w:szCs w:val="20"/>
                <w:color w:val="auto"/>
              </w:rPr>
            </w:pPr>
            <w:r>
              <w:rPr>
                <w:rFonts w:ascii="Arial" w:cs="Arial" w:eastAsia="Arial" w:hAnsi="Arial"/>
                <w:sz w:val="18"/>
                <w:szCs w:val="18"/>
                <w:color w:val="auto"/>
              </w:rPr>
              <w:t>Notes — Change of Control Offer.”</w:t>
            </w:r>
          </w:p>
        </w:tc>
        <w:tc>
          <w:tcPr>
            <w:tcW w:w="1360" w:type="dxa"/>
            <w:vAlign w:val="bottom"/>
            <w:tcBorders>
              <w:top w:val="single" w:sz="8" w:color="auto"/>
            </w:tcBorders>
            <w:gridSpan w:val="5"/>
          </w:tcPr>
          <w:p>
            <w:pPr>
              <w:spacing w:after="0"/>
              <w:rPr>
                <w:sz w:val="17"/>
                <w:szCs w:val="17"/>
                <w:color w:val="auto"/>
              </w:rPr>
            </w:pPr>
          </w:p>
        </w:tc>
        <w:tc>
          <w:tcPr>
            <w:tcW w:w="4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b w:val="1"/>
                <w:bCs w:val="1"/>
                <w:color w:val="auto"/>
              </w:rPr>
              <w:t>Form and Denomination</w:t>
            </w:r>
          </w:p>
        </w:tc>
        <w:tc>
          <w:tcPr>
            <w:tcW w:w="1560" w:type="dxa"/>
            <w:vAlign w:val="bottom"/>
            <w:gridSpan w:val="3"/>
            <w:shd w:val="clear" w:color="auto" w:fill="000000"/>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340" w:type="dxa"/>
            <w:vAlign w:val="bottom"/>
            <w:tcBorders>
              <w:left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020" w:type="dxa"/>
            <w:vAlign w:val="bottom"/>
            <w:vMerge w:val="continue"/>
          </w:tcPr>
          <w:p>
            <w:pPr>
              <w:spacing w:after="0"/>
              <w:rPr>
                <w:sz w:val="24"/>
                <w:szCs w:val="24"/>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9"/>
              </w:rPr>
              <w:t>The New Notes will be issued only in fully registered form without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interest coupons, in minimum denominations of $1,000 and any</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integral multiple of $1,000 in excess thereof. Unless otherwise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required for accredited investors, the New Notes will be evidenced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by a global note deposited with the trustee for the New Notes, as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custodian for DTC and transfers of beneficial interests will be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facilitated only through records maintained by DTC and its</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participants.</w:t>
            </w:r>
          </w:p>
        </w:tc>
        <w:tc>
          <w:tcPr>
            <w:tcW w:w="0" w:type="dxa"/>
            <w:vAlign w:val="bottom"/>
          </w:tcPr>
          <w:p>
            <w:pPr>
              <w:spacing w:after="0"/>
              <w:rPr>
                <w:sz w:val="1"/>
                <w:szCs w:val="1"/>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5180" w:type="dxa"/>
            <w:vAlign w:val="bottom"/>
            <w:gridSpan w:val="17"/>
          </w:tcPr>
          <w:p>
            <w:pPr>
              <w:spacing w:after="0"/>
              <w:rPr>
                <w:sz w:val="20"/>
                <w:szCs w:val="20"/>
                <w:color w:val="auto"/>
              </w:rPr>
            </w:pPr>
            <w:r>
              <w:rPr>
                <w:rFonts w:ascii="Arial" w:cs="Arial" w:eastAsia="Arial" w:hAnsi="Arial"/>
                <w:sz w:val="18"/>
                <w:szCs w:val="18"/>
                <w:color w:val="auto"/>
                <w:w w:val="96"/>
              </w:rPr>
              <w:t>We will not receive any proceeds from the exchange offer. Any Old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Notes that are properly tendered and exchanged pursuant to the</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exchange offer will be retired and cancelled.</w:t>
            </w:r>
          </w:p>
        </w:tc>
        <w:tc>
          <w:tcPr>
            <w:tcW w:w="0" w:type="dxa"/>
            <w:vAlign w:val="bottom"/>
          </w:tcPr>
          <w:p>
            <w:pPr>
              <w:spacing w:after="0"/>
              <w:rPr>
                <w:sz w:val="1"/>
                <w:szCs w:val="1"/>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5180" w:type="dxa"/>
            <w:vAlign w:val="bottom"/>
            <w:gridSpan w:val="17"/>
          </w:tcPr>
          <w:p>
            <w:pPr>
              <w:spacing w:after="0"/>
              <w:rPr>
                <w:sz w:val="20"/>
                <w:szCs w:val="20"/>
                <w:color w:val="auto"/>
              </w:rPr>
            </w:pPr>
            <w:r>
              <w:rPr>
                <w:rFonts w:ascii="Arial" w:cs="Arial" w:eastAsia="Arial" w:hAnsi="Arial"/>
                <w:sz w:val="18"/>
                <w:szCs w:val="18"/>
                <w:color w:val="auto"/>
                <w:w w:val="96"/>
              </w:rPr>
              <w:t>Tendering your Old Notes in the exchange offer involves risks. You</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6"/>
              </w:rPr>
              <w:t>should carefully consider the information set forth in this prospectus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and, in particular, should evaluate the specific factors set forth in</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80" w:type="dxa"/>
            <w:vAlign w:val="bottom"/>
            <w:gridSpan w:val="17"/>
          </w:tcPr>
          <w:p>
            <w:pPr>
              <w:spacing w:after="0" w:line="190" w:lineRule="exact"/>
              <w:rPr>
                <w:sz w:val="20"/>
                <w:szCs w:val="20"/>
                <w:color w:val="auto"/>
              </w:rPr>
            </w:pPr>
            <w:r>
              <w:rPr>
                <w:rFonts w:ascii="Arial" w:cs="Arial" w:eastAsia="Arial" w:hAnsi="Arial"/>
                <w:sz w:val="18"/>
                <w:szCs w:val="18"/>
                <w:color w:val="auto"/>
              </w:rPr>
              <w:t>the section entitled “Risk Factors” for an explanation of certain</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20" w:type="dxa"/>
            <w:vAlign w:val="bottom"/>
          </w:tcPr>
          <w:p>
            <w:pPr>
              <w:spacing w:after="0"/>
              <w:rPr>
                <w:sz w:val="19"/>
                <w:szCs w:val="19"/>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9"/>
              </w:rPr>
              <w:t>risks of the exchange offer and investing in the New Notes before</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7"/>
              </w:rPr>
              <w:t>tendering any Old Notes. You should also evaluate the risk factors</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5180" w:type="dxa"/>
            <w:vAlign w:val="bottom"/>
            <w:gridSpan w:val="17"/>
          </w:tcPr>
          <w:p>
            <w:pPr>
              <w:spacing w:after="0" w:line="190" w:lineRule="exact"/>
              <w:rPr>
                <w:rFonts w:ascii="Arial" w:cs="Arial" w:eastAsia="Arial" w:hAnsi="Arial"/>
                <w:sz w:val="18"/>
                <w:szCs w:val="18"/>
                <w:color w:val="auto"/>
              </w:rPr>
            </w:pPr>
            <w:hyperlink r:id="rId12">
              <w:r>
                <w:rPr>
                  <w:rFonts w:ascii="Arial" w:cs="Arial" w:eastAsia="Arial" w:hAnsi="Arial"/>
                  <w:sz w:val="18"/>
                  <w:szCs w:val="18"/>
                  <w:color w:val="auto"/>
                </w:rPr>
                <w:t xml:space="preserve">described in “Part I. Item 1A. Risk Factors” in our </w:t>
              </w:r>
              <w:r>
                <w:rPr>
                  <w:rFonts w:ascii="Arial" w:cs="Arial" w:eastAsia="Arial" w:hAnsi="Arial"/>
                  <w:sz w:val="18"/>
                  <w:szCs w:val="18"/>
                  <w:color w:val="0000EE"/>
                </w:rPr>
                <w:t>Annual Report</w:t>
              </w:r>
            </w:hyperlink>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5180" w:type="dxa"/>
            <w:vAlign w:val="bottom"/>
            <w:gridSpan w:val="17"/>
          </w:tcPr>
          <w:p>
            <w:pPr>
              <w:spacing w:after="0" w:line="196" w:lineRule="exact"/>
              <w:rPr>
                <w:rFonts w:ascii="Arial" w:cs="Arial" w:eastAsia="Arial" w:hAnsi="Arial"/>
                <w:sz w:val="18"/>
                <w:szCs w:val="18"/>
                <w:color w:val="0000EE"/>
              </w:rPr>
            </w:pPr>
            <w:hyperlink r:id="rId12">
              <w:r>
                <w:rPr>
                  <w:rFonts w:ascii="Arial" w:cs="Arial" w:eastAsia="Arial" w:hAnsi="Arial"/>
                  <w:sz w:val="18"/>
                  <w:szCs w:val="18"/>
                  <w:color w:val="0000EE"/>
                </w:rPr>
                <w:t xml:space="preserve">on Form 10-K for the year ended December 31, 2020 </w:t>
              </w:r>
              <w:r>
                <w:rPr>
                  <w:rFonts w:ascii="Arial" w:cs="Arial" w:eastAsia="Arial" w:hAnsi="Arial"/>
                  <w:sz w:val="18"/>
                  <w:szCs w:val="18"/>
                  <w:color w:val="000000"/>
                </w:rPr>
                <w:t>and in our</w:t>
              </w:r>
            </w:hyperlink>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4020" w:type="dxa"/>
            <w:vAlign w:val="bottom"/>
            <w:gridSpan w:val="11"/>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514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9">
              <w:r>
                <w:rPr>
                  <w:rFonts w:ascii="Arial" w:cs="Arial" w:eastAsia="Arial" w:hAnsi="Arial"/>
                  <w:sz w:val="18"/>
                  <w:szCs w:val="18"/>
                  <w:color w:val="0000EE"/>
                  <w:w w:val="94"/>
                </w:rPr>
                <w:t xml:space="preserve">Quarterly Report on Form 10-Q for the quarter ended June </w:t>
              </w:r>
            </w:hyperlink>
            <w:r>
              <w:rPr>
                <w:rFonts w:ascii="Arial" w:cs="Arial" w:eastAsia="Arial" w:hAnsi="Arial"/>
                <w:sz w:val="18"/>
                <w:szCs w:val="18"/>
                <w:color w:val="0000EE"/>
                <w:w w:val="94"/>
              </w:rPr>
              <w:t xml:space="preserve">30, </w:t>
            </w:r>
            <w:hyperlink r:id="rId19">
              <w:r>
                <w:rPr>
                  <w:rFonts w:ascii="Arial" w:cs="Arial" w:eastAsia="Arial" w:hAnsi="Arial"/>
                  <w:sz w:val="18"/>
                  <w:szCs w:val="18"/>
                  <w:color w:val="0000EE"/>
                  <w:w w:val="94"/>
                </w:rPr>
                <w:t>2021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6"/>
              </w:rPr>
              <w:t>and the other information set forth or incorporated by reference into</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this prospectus.</w:t>
            </w:r>
          </w:p>
        </w:tc>
        <w:tc>
          <w:tcPr>
            <w:tcW w:w="0" w:type="dxa"/>
            <w:vAlign w:val="bottom"/>
          </w:tcPr>
          <w:p>
            <w:pPr>
              <w:spacing w:after="0"/>
              <w:rPr>
                <w:sz w:val="1"/>
                <w:szCs w:val="1"/>
                <w:color w:val="auto"/>
              </w:rPr>
            </w:pPr>
          </w:p>
        </w:tc>
      </w:tr>
      <w:tr>
        <w:trPr>
          <w:trHeight w:val="306"/>
        </w:trPr>
        <w:tc>
          <w:tcPr>
            <w:tcW w:w="3020" w:type="dxa"/>
            <w:vAlign w:val="bottom"/>
          </w:tcPr>
          <w:p>
            <w:pPr>
              <w:spacing w:after="0"/>
              <w:rPr>
                <w:sz w:val="20"/>
                <w:szCs w:val="20"/>
                <w:color w:val="auto"/>
              </w:rPr>
            </w:pPr>
            <w:r>
              <w:rPr>
                <w:rFonts w:ascii="Arial" w:cs="Arial" w:eastAsia="Arial" w:hAnsi="Arial"/>
                <w:sz w:val="18"/>
                <w:szCs w:val="18"/>
                <w:b w:val="1"/>
                <w:bCs w:val="1"/>
                <w:color w:val="auto"/>
              </w:rPr>
              <w:t>Absence of a Public Market for the</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New Notes</w:t>
            </w:r>
          </w:p>
        </w:tc>
        <w:tc>
          <w:tcPr>
            <w:tcW w:w="5180" w:type="dxa"/>
            <w:vAlign w:val="bottom"/>
            <w:gridSpan w:val="17"/>
          </w:tcPr>
          <w:p>
            <w:pPr>
              <w:spacing w:after="0"/>
              <w:rPr>
                <w:sz w:val="20"/>
                <w:szCs w:val="20"/>
                <w:color w:val="auto"/>
              </w:rPr>
            </w:pPr>
            <w:r>
              <w:rPr>
                <w:rFonts w:ascii="Arial" w:cs="Arial" w:eastAsia="Arial" w:hAnsi="Arial"/>
                <w:sz w:val="18"/>
                <w:szCs w:val="18"/>
                <w:color w:val="auto"/>
                <w:w w:val="96"/>
              </w:rPr>
              <w:t>The New Notes will be freely transferable but will be new securities</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9"/>
              </w:rPr>
              <w:t>for which there will not initially be a market. Accordingly, a market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for the New Notes may not develop or there may be limited</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8"/>
              </w:rPr>
              <w:t>liquidity in any such market that may develop. We do not intend to</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w w:val="98"/>
              </w:rPr>
              <w:t>apply for a listing of the New Notes on any securities exchange or</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5180" w:type="dxa"/>
            <w:vAlign w:val="bottom"/>
            <w:gridSpan w:val="17"/>
          </w:tcPr>
          <w:p>
            <w:pPr>
              <w:spacing w:after="0"/>
              <w:rPr>
                <w:sz w:val="20"/>
                <w:szCs w:val="20"/>
                <w:color w:val="auto"/>
              </w:rPr>
            </w:pPr>
            <w:r>
              <w:rPr>
                <w:rFonts w:ascii="Arial" w:cs="Arial" w:eastAsia="Arial" w:hAnsi="Arial"/>
                <w:sz w:val="18"/>
                <w:szCs w:val="18"/>
                <w:color w:val="auto"/>
              </w:rPr>
              <w:t>any automated dealer quotation system.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Trustee</w:t>
      </w:r>
      <w:r>
        <w:rPr>
          <w:sz w:val="20"/>
          <w:szCs w:val="20"/>
          <w:color w:val="auto"/>
        </w:rPr>
        <w:tab/>
      </w:r>
      <w:r>
        <w:rPr>
          <w:rFonts w:ascii="Arial" w:cs="Arial" w:eastAsia="Arial" w:hAnsi="Arial"/>
          <w:sz w:val="18"/>
          <w:szCs w:val="18"/>
          <w:color w:val="auto"/>
        </w:rPr>
        <w:t>UMB Bank, NA</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The New Notes will not be listed on any securities exchange.</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Arial" w:cs="Arial" w:eastAsia="Arial" w:hAnsi="Arial"/>
          <w:sz w:val="18"/>
          <w:szCs w:val="18"/>
          <w:b w:val="1"/>
          <w:bCs w:val="1"/>
          <w:color w:val="auto"/>
        </w:rPr>
        <w:t>Governing Law</w:t>
      </w:r>
      <w:r>
        <w:rPr>
          <w:sz w:val="20"/>
          <w:szCs w:val="20"/>
          <w:color w:val="auto"/>
        </w:rPr>
        <w:tab/>
      </w:r>
      <w:r>
        <w:rPr>
          <w:rFonts w:ascii="Arial" w:cs="Arial" w:eastAsia="Arial" w:hAnsi="Arial"/>
          <w:sz w:val="17"/>
          <w:szCs w:val="17"/>
          <w:color w:val="auto"/>
        </w:rPr>
        <w:t>The indenture and the New Notes will be governed by and</w:t>
      </w:r>
    </w:p>
    <w:p>
      <w:pPr>
        <w:spacing w:after="0" w:line="27"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construed in accordance with the laws of the State of New York.</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39" w:firstLine="360"/>
        <w:spacing w:after="0" w:line="253"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w:t>
      </w:r>
      <w:hyperlink r:id="rId12">
        <w:r>
          <w:rPr>
            <w:rFonts w:ascii="Arial" w:cs="Arial" w:eastAsia="Arial" w:hAnsi="Arial"/>
            <w:sz w:val="17"/>
            <w:szCs w:val="17"/>
            <w:i w:val="1"/>
            <w:iCs w:val="1"/>
            <w:color w:val="auto"/>
          </w:rPr>
          <w:t xml:space="preserve">among other things, the factors described under the caption </w:t>
        </w:r>
        <w:r>
          <w:rPr>
            <w:rFonts w:ascii="Arial" w:cs="Arial" w:eastAsia="Arial" w:hAnsi="Arial"/>
            <w:sz w:val="17"/>
            <w:szCs w:val="17"/>
            <w:color w:val="auto"/>
          </w:rPr>
          <w:t>“Risk Factors”</w:t>
        </w:r>
        <w:r>
          <w:rPr>
            <w:rFonts w:ascii="Arial" w:cs="Arial" w:eastAsia="Arial" w:hAnsi="Arial"/>
            <w:sz w:val="17"/>
            <w:szCs w:val="17"/>
            <w:i w:val="1"/>
            <w:iCs w:val="1"/>
            <w:color w:val="auto"/>
          </w:rPr>
          <w:t xml:space="preserve">in our </w:t>
        </w:r>
        <w:r>
          <w:rPr>
            <w:rFonts w:ascii="Arial" w:cs="Arial" w:eastAsia="Arial" w:hAnsi="Arial"/>
            <w:sz w:val="17"/>
            <w:szCs w:val="17"/>
            <w:i w:val="1"/>
            <w:iCs w:val="1"/>
            <w:u w:val="single" w:color="auto"/>
            <w:color w:val="0000EE"/>
          </w:rPr>
          <w:t>Annual Report on Form</w:t>
        </w:r>
      </w:hyperlink>
    </w:p>
    <w:p>
      <w:pPr>
        <w:spacing w:after="0" w:line="2" w:lineRule="exact"/>
        <w:rPr>
          <w:sz w:val="20"/>
          <w:szCs w:val="20"/>
          <w:color w:val="auto"/>
        </w:rPr>
      </w:pPr>
    </w:p>
    <w:p>
      <w:pPr>
        <w:ind w:left="1260" w:right="419"/>
        <w:spacing w:after="0" w:line="236" w:lineRule="auto"/>
        <w:rPr>
          <w:rFonts w:ascii="Arial" w:cs="Arial" w:eastAsia="Arial" w:hAnsi="Arial"/>
          <w:sz w:val="18"/>
          <w:szCs w:val="18"/>
          <w:i w:val="1"/>
          <w:iCs w:val="1"/>
          <w:color w:val="0000EE"/>
        </w:rPr>
      </w:pPr>
      <w:hyperlink r:id="rId12">
        <w:r>
          <w:rPr>
            <w:rFonts w:ascii="Arial" w:cs="Arial" w:eastAsia="Arial" w:hAnsi="Arial"/>
            <w:sz w:val="18"/>
            <w:szCs w:val="18"/>
            <w:i w:val="1"/>
            <w:iCs w:val="1"/>
            <w:u w:val="single" w:color="auto"/>
            <w:color w:val="0000EE"/>
          </w:rPr>
          <w:t>10-K for the year ended December 31, 2020</w:t>
        </w:r>
        <w:r>
          <w:rPr>
            <w:rFonts w:ascii="Arial" w:cs="Arial" w:eastAsia="Arial" w:hAnsi="Arial"/>
            <w:sz w:val="18"/>
            <w:szCs w:val="18"/>
            <w:i w:val="1"/>
            <w:iCs w:val="1"/>
            <w:color w:val="000000"/>
          </w:rPr>
          <w:t>, which is incorporated herein by reference, as updated by our</w:t>
        </w:r>
      </w:hyperlink>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w:t>
      </w:r>
      <w:r>
        <w:rPr>
          <w:rFonts w:ascii="Arial" w:cs="Arial" w:eastAsia="Arial" w:hAnsi="Arial"/>
          <w:sz w:val="18"/>
          <w:szCs w:val="18"/>
          <w:i w:val="1"/>
          <w:iCs w:val="1"/>
          <w:u w:val="single" w:color="auto"/>
          <w:color w:val="000000"/>
        </w:rPr>
        <w:t>Cautionary Note Regarding Forward-Looking</w:t>
      </w:r>
      <w:r>
        <w:rPr>
          <w:rFonts w:ascii="Arial" w:cs="Arial" w:eastAsia="Arial" w:hAnsi="Arial"/>
          <w:sz w:val="18"/>
          <w:szCs w:val="18"/>
          <w:i w:val="1"/>
          <w:iCs w:val="1"/>
          <w:color w:val="000000"/>
        </w:rPr>
        <w:t xml:space="preserve"> </w:t>
      </w:r>
      <w:r>
        <w:rPr>
          <w:rFonts w:ascii="Arial" w:cs="Arial" w:eastAsia="Arial" w:hAnsi="Arial"/>
          <w:sz w:val="18"/>
          <w:szCs w:val="18"/>
          <w:i w:val="1"/>
          <w:iCs w:val="1"/>
          <w:u w:val="single" w:color="auto"/>
          <w:color w:val="000000"/>
        </w:rPr>
        <w:t>Statements</w:t>
      </w:r>
      <w:r>
        <w:rPr>
          <w:rFonts w:ascii="Arial" w:cs="Arial" w:eastAsia="Arial" w:hAnsi="Arial"/>
          <w:sz w:val="18"/>
          <w:szCs w:val="18"/>
          <w:i w:val="1"/>
          <w:iCs w:val="1"/>
          <w:color w:val="000000"/>
        </w:rPr>
        <w:t>” section in this prospectus.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260" w:right="659" w:firstLine="3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For a discussion of certain risks applicable to our business and operations, please refer to the section entitled “Risk Factors” in Part I, Item 1A of our Annual Report on Form 10-K for the year ended December 31, 2020 and our </w:t>
      </w:r>
      <w:hyperlink r:id="rId35">
        <w:r>
          <w:rPr>
            <w:rFonts w:ascii="Arial" w:cs="Arial" w:eastAsia="Arial" w:hAnsi="Arial"/>
            <w:sz w:val="17"/>
            <w:szCs w:val="17"/>
            <w:u w:val="single" w:color="auto"/>
            <w:color w:val="0000EE"/>
          </w:rPr>
          <w:t>Quarterly Report on Form 10-Q for the period ended June 30, 2021.</w:t>
        </w:r>
      </w:hyperlink>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Exchange Offer</w:t>
      </w:r>
    </w:p>
    <w:p>
      <w:pPr>
        <w:spacing w:after="0" w:line="229"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b w:val="1"/>
          <w:bCs w:val="1"/>
          <w:i w:val="1"/>
          <w:iCs w:val="1"/>
          <w:color w:val="auto"/>
        </w:rPr>
        <w:t>If you do not properly tender your Old Notes, you will continue to hold unregistered Old Notes and your ability to transfer Old Notes will be adversely affected.</w:t>
      </w:r>
    </w:p>
    <w:p>
      <w:pPr>
        <w:spacing w:after="0" w:line="103"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We will only issue New Notes in exchange for Old Notes that you timely and properly tender.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Offer — Procedures for Tendering Old Notes</w:t>
      </w:r>
      <w:r>
        <w:rPr>
          <w:rFonts w:ascii="Arial" w:cs="Arial" w:eastAsia="Arial" w:hAnsi="Arial"/>
          <w:sz w:val="18"/>
          <w:szCs w:val="18"/>
          <w:color w:val="auto"/>
        </w:rPr>
        <w:t>.”</w:t>
      </w:r>
    </w:p>
    <w:p>
      <w:pPr>
        <w:spacing w:after="0" w:line="108"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12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tender of Old Notes under the exchange offer will reduce the principal amount of the Old Notes outstanding, which may have an adverse effect upon, and increase the volatility of, the market price of the Old Notes due to reduction in liquidity.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You may not receive New Notes in the exchange offer if you do not properly follow the exchange offer procedures.</w:t>
      </w:r>
    </w:p>
    <w:p>
      <w:pPr>
        <w:spacing w:after="0" w:line="19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 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w:t>
      </w:r>
    </w:p>
    <w:p>
      <w:pPr>
        <w:spacing w:after="0" w:line="144"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Based on interpretations of the staff of the SEC contained in certain no action letters addressed to other parties, we believe that you may offer for resale, resell or otherwise transfer the New Notes without compliance with the registration and prospectus delivery requirements of the Securities Act. However, in</w:t>
      </w: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rPr>
          <w:sz w:val="20"/>
          <w:szCs w:val="20"/>
          <w:color w:val="auto"/>
        </w:rPr>
      </w:pPr>
      <w:r>
        <w:rPr>
          <w:rFonts w:ascii="Arial" w:cs="Arial" w:eastAsia="Arial" w:hAnsi="Arial"/>
          <w:sz w:val="18"/>
          <w:szCs w:val="18"/>
          <w:color w:val="auto"/>
        </w:rPr>
        <w:t>some instances described in this prospectus under “</w:t>
      </w:r>
      <w:r>
        <w:rPr>
          <w:rFonts w:ascii="Arial" w:cs="Arial" w:eastAsia="Arial" w:hAnsi="Arial"/>
          <w:sz w:val="18"/>
          <w:szCs w:val="18"/>
          <w:u w:val="single" w:color="auto"/>
          <w:color w:val="auto"/>
        </w:rPr>
        <w:t>Plan of Distribution</w:t>
      </w:r>
      <w:r>
        <w:rPr>
          <w:rFonts w:ascii="Arial" w:cs="Arial" w:eastAsia="Arial" w:hAnsi="Arial"/>
          <w:sz w:val="18"/>
          <w:szCs w:val="18"/>
          <w:color w:val="auto"/>
        </w:rPr>
        <w:t>,”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New Notes</w:t>
      </w:r>
    </w:p>
    <w:p>
      <w:pPr>
        <w:spacing w:after="0" w:line="229"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b w:val="1"/>
          <w:bCs w:val="1"/>
          <w:i w:val="1"/>
          <w:iCs w:val="1"/>
          <w:color w:val="auto"/>
        </w:rPr>
        <w:t>We are a holding company whose principal assets are the equity interests we hold in our subsidiaries. We will depend upon our subsidiaries to provide us with substantially all of the funds to meet our obligations under the New Notes.</w:t>
      </w:r>
    </w:p>
    <w:p>
      <w:pPr>
        <w:spacing w:after="0" w:line="101"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We are a holding company, and we conduct our operations principally through our subsidiaries. We derive substantially all our revenues from our subsidiaries, and substantially all of our operating assets are owned by our subsidiaries. As a result, our cash flow and our ability to service our debt, including the New Notes, largely depend on the results of operations of our subsidiaries and upon the ability of our subsidiaries to provide us with cash to pay amounts due on our obligations, including the New Notes. Dividends, loans or other distributions from our subsidiaries to us also may be subject to contractual and other restrictions, are dependent upon results of operations of our subsidiaries and are subject to other business considerations.</w:t>
      </w:r>
    </w:p>
    <w:p>
      <w:pPr>
        <w:spacing w:after="0" w:line="180" w:lineRule="exact"/>
        <w:rPr>
          <w:sz w:val="20"/>
          <w:szCs w:val="20"/>
          <w:color w:val="auto"/>
        </w:rPr>
      </w:pPr>
    </w:p>
    <w:p>
      <w:pPr>
        <w:ind w:left="1260" w:right="659"/>
        <w:spacing w:after="0" w:line="261" w:lineRule="auto"/>
        <w:rPr>
          <w:sz w:val="20"/>
          <w:szCs w:val="20"/>
          <w:color w:val="auto"/>
        </w:rPr>
      </w:pPr>
      <w:r>
        <w:rPr>
          <w:rFonts w:ascii="Arial" w:cs="Arial" w:eastAsia="Arial" w:hAnsi="Arial"/>
          <w:sz w:val="18"/>
          <w:szCs w:val="18"/>
          <w:b w:val="1"/>
          <w:bCs w:val="1"/>
          <w:i w:val="1"/>
          <w:iCs w:val="1"/>
          <w:color w:val="auto"/>
        </w:rPr>
        <w:t>Our substantial indebtedness could adversely affect our business, financial condition or results of operations and prevent us from fulfilling our obligations under the New Notes.</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We currently have and will continue to have a significant amount of indebtedness. As of June 30, 2021, the principal amount of our total consolidated indebtedness was approximately $6.75 billion, of which an aggregate of $6.61 billion was senior indebtedness and an aggregate of $5.50 billion was secured indebtedness. As of June 30, 2021, our subsidiaries had $5.86 billion principal amount of indebtedness and other liabilities (including trade payables) to which the New Notes would have been structurally subordinated. This substantial level of indebtedness increases the risk that we may be unable to generate enough cash to pay amounts due in respect of our indebtedness, including the New Notes.</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Our substantial indebtedness could have important consequences to you and significant effects on our business. For example, it could:</w:t>
      </w:r>
    </w:p>
    <w:p>
      <w:pPr>
        <w:spacing w:after="0" w:line="49"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New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investments in our targeted assets, working capital and other general corporate purposes;</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 us from exploiting business opportunities;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25"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Despite our substantial level of indebtedness, we may still incur significantly more debt, which could exacerbate any or all of the risks described above.</w:t>
      </w:r>
    </w:p>
    <w:p>
      <w:pPr>
        <w:spacing w:after="0" w:line="103"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The indenture requires us to maintain a minimum Net Asset Value, a minimum ratio of Consolidated Unencumbered Assets to Debt, a minimum Senior Debt Service Coverage Ratio and a minimum Debt to Equity Ratio. Accordingly, the indenture governing the New Notes restricts, but does not eliminate, our and our subsidiaries’ ability to incur indebtedness, including indebtedness that would be senior to the New Notes. The incurrence of additional indebtedness could have the effect of diminishing our ability to make payments of principal, premium, if any, and interest on the New Notes when due and payable.</w:t>
      </w:r>
    </w:p>
    <w:p>
      <w:pPr>
        <w:spacing w:after="0" w:line="35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Moreover, the restrictive covenants in the indenture are subject to numerous exceptions and we and our subsidiaries will likely be able to incur substantial additional secured and unsecured indebtedness without violating such covenants. In addition, the indenture does not impose any limitation on the incurrence or issuance by us or our subsidiaries of liabilities that are not considered Debt.</w:t>
      </w:r>
    </w:p>
    <w:p>
      <w:pPr>
        <w:spacing w:after="0" w:line="91"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Although the indenture governing the New Notes will restrict our ability and the ability of our subsidiaries to grant liens to secure indebtedness outstanding pursuant to a Material Credit Facility, this restriction is subject to a number of qualifications and exceptions and, under certain circumstances, Debt incurred in compliance with these restrictions could be substantial. See “</w:t>
      </w:r>
      <w:r>
        <w:rPr>
          <w:rFonts w:ascii="Arial" w:cs="Arial" w:eastAsia="Arial" w:hAnsi="Arial"/>
          <w:sz w:val="18"/>
          <w:szCs w:val="18"/>
          <w:u w:val="single" w:color="auto"/>
          <w:color w:val="auto"/>
        </w:rPr>
        <w:t>Description of the Notes —</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Restrictive Covenants — Liens</w:t>
      </w:r>
      <w:r>
        <w:rPr>
          <w:rFonts w:ascii="Arial" w:cs="Arial" w:eastAsia="Arial" w:hAnsi="Arial"/>
          <w:sz w:val="18"/>
          <w:szCs w:val="18"/>
          <w:color w:val="auto"/>
        </w:rPr>
        <w:t>.”</w:t>
      </w:r>
    </w:p>
    <w:p>
      <w:pPr>
        <w:spacing w:after="0" w:line="122"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For definitions of the terms “</w:t>
      </w:r>
      <w:r>
        <w:rPr>
          <w:rFonts w:ascii="Arial" w:cs="Arial" w:eastAsia="Arial" w:hAnsi="Arial"/>
          <w:sz w:val="18"/>
          <w:szCs w:val="18"/>
          <w:u w:val="single" w:color="auto"/>
          <w:color w:val="auto"/>
        </w:rPr>
        <w:t>Net Asset Value</w:t>
      </w:r>
      <w:r>
        <w:rPr>
          <w:rFonts w:ascii="Arial" w:cs="Arial" w:eastAsia="Arial" w:hAnsi="Arial"/>
          <w:sz w:val="18"/>
          <w:szCs w:val="18"/>
          <w:color w:val="auto"/>
        </w:rPr>
        <w:t>,” “</w:t>
      </w:r>
      <w:r>
        <w:rPr>
          <w:rFonts w:ascii="Arial" w:cs="Arial" w:eastAsia="Arial" w:hAnsi="Arial"/>
          <w:sz w:val="18"/>
          <w:szCs w:val="18"/>
          <w:u w:val="single" w:color="auto"/>
          <w:color w:val="auto"/>
        </w:rPr>
        <w:t>Consolidated Unencumbered Assets</w:t>
      </w:r>
      <w:r>
        <w:rPr>
          <w:rFonts w:ascii="Arial" w:cs="Arial" w:eastAsia="Arial" w:hAnsi="Arial"/>
          <w:sz w:val="18"/>
          <w:szCs w:val="18"/>
          <w:color w:val="auto"/>
        </w:rPr>
        <w:t>,” “</w:t>
      </w:r>
      <w:r>
        <w:rPr>
          <w:rFonts w:ascii="Arial" w:cs="Arial" w:eastAsia="Arial" w:hAnsi="Arial"/>
          <w:sz w:val="18"/>
          <w:szCs w:val="18"/>
          <w:u w:val="single" w:color="auto"/>
          <w:color w:val="auto"/>
        </w:rPr>
        <w:t>Debt</w:t>
      </w:r>
      <w:r>
        <w:rPr>
          <w:rFonts w:ascii="Arial" w:cs="Arial" w:eastAsia="Arial" w:hAnsi="Arial"/>
          <w:sz w:val="18"/>
          <w:szCs w:val="18"/>
          <w:color w:val="auto"/>
        </w:rPr>
        <w:t>,” “</w:t>
      </w:r>
      <w:r>
        <w:rPr>
          <w:rFonts w:ascii="Arial" w:cs="Arial" w:eastAsia="Arial" w:hAnsi="Arial"/>
          <w:sz w:val="18"/>
          <w:szCs w:val="18"/>
          <w:u w:val="single" w:color="auto"/>
          <w:color w:val="auto"/>
        </w:rPr>
        <w:t>Senior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Debt Service Coverage Ratio</w:t>
      </w:r>
      <w:r>
        <w:rPr>
          <w:rFonts w:ascii="Arial" w:cs="Arial" w:eastAsia="Arial" w:hAnsi="Arial"/>
          <w:sz w:val="18"/>
          <w:szCs w:val="18"/>
          <w:color w:val="auto"/>
        </w:rPr>
        <w:t>,” “</w:t>
      </w:r>
      <w:r>
        <w:rPr>
          <w:rFonts w:ascii="Arial" w:cs="Arial" w:eastAsia="Arial" w:hAnsi="Arial"/>
          <w:sz w:val="18"/>
          <w:szCs w:val="18"/>
          <w:u w:val="single" w:color="auto"/>
          <w:color w:val="auto"/>
        </w:rPr>
        <w:t>Debt to Equity Ratio</w:t>
      </w:r>
      <w:r>
        <w:rPr>
          <w:rFonts w:ascii="Arial" w:cs="Arial" w:eastAsia="Arial" w:hAnsi="Arial"/>
          <w:sz w:val="18"/>
          <w:szCs w:val="18"/>
          <w:color w:val="auto"/>
        </w:rPr>
        <w:t>” and “</w:t>
      </w:r>
      <w:r>
        <w:rPr>
          <w:rFonts w:ascii="Arial" w:cs="Arial" w:eastAsia="Arial" w:hAnsi="Arial"/>
          <w:sz w:val="18"/>
          <w:szCs w:val="18"/>
          <w:u w:val="single" w:color="auto"/>
          <w:color w:val="auto"/>
        </w:rPr>
        <w:t>Material Credit Facility</w:t>
      </w:r>
      <w:r>
        <w:rPr>
          <w:rFonts w:ascii="Arial" w:cs="Arial" w:eastAsia="Arial" w:hAnsi="Arial"/>
          <w:sz w:val="18"/>
          <w:szCs w:val="18"/>
          <w:color w:val="auto"/>
        </w:rPr>
        <w:t>,” see “</w:t>
      </w:r>
      <w:r>
        <w:rPr>
          <w:rFonts w:ascii="Arial" w:cs="Arial" w:eastAsia="Arial" w:hAnsi="Arial"/>
          <w:sz w:val="18"/>
          <w:szCs w:val="18"/>
          <w:u w:val="single" w:color="auto"/>
          <w:color w:val="auto"/>
        </w:rPr>
        <w:t>Description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Notes — Certain Definitions</w:t>
      </w:r>
      <w:r>
        <w:rPr>
          <w:rFonts w:ascii="Arial" w:cs="Arial" w:eastAsia="Arial" w:hAnsi="Arial"/>
          <w:sz w:val="18"/>
          <w:szCs w:val="18"/>
          <w:color w:val="auto"/>
        </w:rPr>
        <w:t>.”</w:t>
      </w:r>
    </w:p>
    <w:p>
      <w:pPr>
        <w:spacing w:after="0" w:line="114"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addition, the agreements that govern our current indebtedness contain, and the agreements that may govern any future indebtedness that we may incur may contain, financial and other restrictive covenants that limit or may limit our ability to engage in activities that may be in our long-term best interests.</w:t>
      </w:r>
    </w:p>
    <w:p>
      <w:pPr>
        <w:spacing w:after="0" w:line="164" w:lineRule="exact"/>
        <w:rPr>
          <w:sz w:val="20"/>
          <w:szCs w:val="20"/>
          <w:color w:val="auto"/>
        </w:rPr>
      </w:pPr>
    </w:p>
    <w:p>
      <w:pPr>
        <w:ind w:left="1260" w:right="979"/>
        <w:spacing w:after="0" w:line="261" w:lineRule="auto"/>
        <w:rPr>
          <w:sz w:val="20"/>
          <w:szCs w:val="20"/>
          <w:color w:val="auto"/>
        </w:rPr>
      </w:pPr>
      <w:r>
        <w:rPr>
          <w:rFonts w:ascii="Arial" w:cs="Arial" w:eastAsia="Arial" w:hAnsi="Arial"/>
          <w:sz w:val="18"/>
          <w:szCs w:val="18"/>
          <w:b w:val="1"/>
          <w:bCs w:val="1"/>
          <w:i w:val="1"/>
          <w:iCs w:val="1"/>
          <w:color w:val="auto"/>
        </w:rPr>
        <w:t>Servicing our debt requires a significant amount of cash, and we may not have sufficient cash flow from our business to pay our substantial debt.</w:t>
      </w:r>
    </w:p>
    <w:p>
      <w:pPr>
        <w:spacing w:after="0" w:line="90"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New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84" w:lineRule="exact"/>
        <w:rPr>
          <w:sz w:val="20"/>
          <w:szCs w:val="20"/>
          <w:color w:val="auto"/>
        </w:rPr>
      </w:pPr>
    </w:p>
    <w:p>
      <w:pPr>
        <w:ind w:left="1260" w:right="499"/>
        <w:spacing w:after="0" w:line="362" w:lineRule="auto"/>
        <w:rPr>
          <w:sz w:val="20"/>
          <w:szCs w:val="20"/>
          <w:color w:val="auto"/>
        </w:rPr>
      </w:pPr>
      <w:r>
        <w:rPr>
          <w:rFonts w:ascii="Arial" w:cs="Arial" w:eastAsia="Arial" w:hAnsi="Arial"/>
          <w:sz w:val="15"/>
          <w:szCs w:val="15"/>
          <w:b w:val="1"/>
          <w:bCs w:val="1"/>
          <w:i w:val="1"/>
          <w:iCs w:val="1"/>
          <w:color w:val="auto"/>
        </w:rPr>
        <w:t>The New Notes will be structurally subordinated to all of the indebtedness of our subsidiaries that do not guarantee the New Notes and the New Notes will be effectively junior to all of our future secured indebtedness.</w:t>
      </w:r>
    </w:p>
    <w:p>
      <w:pPr>
        <w:spacing w:after="0" w:line="33"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As the New Notes will not be guaranteed by any of our subsidiaries at issuance, the New Notes will be structurally subordinated to the existing and future indebtedness and other liabilities (including trade payables) and preferred equity of our subsidiaries, including any future indebtedness and other liabilities of Arbor Realty Trust, Inc. that are guaranteed by our subsidiaries, unless any of our subsidiaries are required to guarantee the New Notes in the future, under the circumstances set forth in the covenant described in “</w:t>
      </w:r>
      <w:r>
        <w:rPr>
          <w:rFonts w:ascii="Arial" w:cs="Arial" w:eastAsia="Arial" w:hAnsi="Arial"/>
          <w:sz w:val="17"/>
          <w:szCs w:val="17"/>
          <w:u w:val="single" w:color="auto"/>
          <w:color w:val="auto"/>
        </w:rPr>
        <w:t>Description of the Notes — Possible Future Guarantees</w:t>
      </w:r>
      <w:r>
        <w:rPr>
          <w:rFonts w:ascii="Arial" w:cs="Arial" w:eastAsia="Arial" w:hAnsi="Arial"/>
          <w:sz w:val="17"/>
          <w:szCs w:val="17"/>
          <w:color w:val="auto"/>
        </w:rPr>
        <w:t>.” In any liquidation, dissolution, bankruptcy or other similar proceeding involving one of our non -guarantor subsidiaries, any right we or any holders of the New Notes have to participate in the assets of the subsidiary will effectively be subordinated to the claims of creditors of the subsidiary, and following payment by the subsidiary of its liabilities, the subsidiary may not have sufficient assets remaining to make payments to us as a stockholder or otherwise. We conduct all of our operations and business activities through our operating partnership and its subsidiaries. As of June 30, 2021, our subsidiaries had, in the aggregate, indebtedness and other liabilities of approximately $5.86 billion to which the New Notes would have been structurally subordinated. As of June 30, 2021, Arbor Realty Trust, Inc. had no outstanding indebtedness or other liabilities guaranteed by our subsidiaries.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In addition, the New Notes will be effectively subordinated to any of our secured indebtedness to the extent of the value of the collateral securing such indebtedness. In the event that we are declared bankrupt, become insolvent or are liquidated or reorganized, any indebtedness that ranks ahead of the New Notes will be entitled to be paid in full from our assets before any payment may be made with respect to the New Notes. Holders of the New Notes will participate ratably with all holders of our unsecured indebtedness that is deemed to be of the same ranking as the New Notes, and potentially with all of our other general creditors, based upon the respective amounts owed to each holder or creditor, in our remaining assets. In any of the foregoing events, we may not have sufficient assets to pay amounts due on the New Notes. As a</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spacing w:after="0" w:line="263" w:lineRule="auto"/>
        <w:rPr>
          <w:sz w:val="20"/>
          <w:szCs w:val="20"/>
          <w:color w:val="auto"/>
        </w:rPr>
      </w:pPr>
      <w:r>
        <w:rPr>
          <w:rFonts w:ascii="Arial" w:cs="Arial" w:eastAsia="Arial" w:hAnsi="Arial"/>
          <w:sz w:val="18"/>
          <w:szCs w:val="18"/>
          <w:color w:val="auto"/>
        </w:rPr>
        <w:t>result, if holders of the New Notes receive any payments, they may receive less, ratably, than holders of secured indebtedness. As of June 30, 2021, Arbor Realty Trust, Inc. had no outstanding secured indebtedness.</w:t>
      </w:r>
    </w:p>
    <w:p>
      <w:pPr>
        <w:spacing w:after="0" w:line="184" w:lineRule="exact"/>
        <w:rPr>
          <w:sz w:val="20"/>
          <w:szCs w:val="20"/>
          <w:color w:val="auto"/>
        </w:rPr>
      </w:pPr>
    </w:p>
    <w:p>
      <w:pPr>
        <w:jc w:val="both"/>
        <w:ind w:left="1260" w:right="419"/>
        <w:spacing w:after="0" w:line="263" w:lineRule="auto"/>
        <w:rPr>
          <w:sz w:val="20"/>
          <w:szCs w:val="20"/>
          <w:color w:val="auto"/>
        </w:rPr>
      </w:pPr>
      <w:r>
        <w:rPr>
          <w:rFonts w:ascii="Arial" w:cs="Arial" w:eastAsia="Arial" w:hAnsi="Arial"/>
          <w:sz w:val="18"/>
          <w:szCs w:val="18"/>
          <w:b w:val="1"/>
          <w:bCs w:val="1"/>
          <w:i w:val="1"/>
          <w:iCs w:val="1"/>
          <w:color w:val="auto"/>
        </w:rPr>
        <w:t>If any of our subsidiaries guarantees the New Notes, such guarantor’s obligations and liabilities under its guarantee of the New Notes may be discharged under certain circumstances and you may not receive any payments from some or all of the subsidiary guarantors.</w:t>
      </w:r>
    </w:p>
    <w:p>
      <w:pPr>
        <w:spacing w:after="0" w:line="103"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The New Notes will not be guaranteed by any of our subsidiaries at issuance, however our subsidiaries may be required to guarantee the New Notes in the future, under the circumstances set forth in the covenant described in “</w:t>
      </w:r>
      <w:r>
        <w:rPr>
          <w:rFonts w:ascii="Arial" w:cs="Arial" w:eastAsia="Arial" w:hAnsi="Arial"/>
          <w:sz w:val="17"/>
          <w:szCs w:val="17"/>
          <w:u w:val="single" w:color="auto"/>
          <w:color w:val="auto"/>
        </w:rPr>
        <w:t>Description of the Notes — Possible Future Guarantees</w:t>
      </w:r>
      <w:r>
        <w:rPr>
          <w:rFonts w:ascii="Arial" w:cs="Arial" w:eastAsia="Arial" w:hAnsi="Arial"/>
          <w:sz w:val="17"/>
          <w:szCs w:val="17"/>
          <w:color w:val="auto"/>
        </w:rPr>
        <w:t>,” subject to the discharge of any such subsidiary from its obligations and liabilities under such guarantee as described in “</w:t>
      </w:r>
      <w:r>
        <w:rPr>
          <w:rFonts w:ascii="Arial" w:cs="Arial" w:eastAsia="Arial" w:hAnsi="Arial"/>
          <w:sz w:val="17"/>
          <w:szCs w:val="17"/>
          <w:u w:val="single" w:color="auto"/>
          <w:color w:val="auto"/>
        </w:rPr>
        <w:t>Description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Notes — Possible Future Guarantees</w:t>
      </w:r>
      <w:r>
        <w:rPr>
          <w:rFonts w:ascii="Arial" w:cs="Arial" w:eastAsia="Arial" w:hAnsi="Arial"/>
          <w:sz w:val="17"/>
          <w:szCs w:val="17"/>
          <w:color w:val="auto"/>
        </w:rPr>
        <w:t>.” You will not have a claim as a creditor against any subsidiary that does not guarantee the New Notes or whose guarantee of the New Notes has been discharged, and the indebtedness and other liabilities (including trade payables) and preferred equity of those subsidiaries will effectively be senior to claims of holders of the New Notes.</w:t>
      </w:r>
    </w:p>
    <w:p>
      <w:pPr>
        <w:spacing w:after="0" w:line="178" w:lineRule="exact"/>
        <w:rPr>
          <w:sz w:val="20"/>
          <w:szCs w:val="20"/>
          <w:color w:val="auto"/>
        </w:rPr>
      </w:pPr>
    </w:p>
    <w:p>
      <w:pPr>
        <w:ind w:left="1260" w:right="739"/>
        <w:spacing w:after="0" w:line="308" w:lineRule="auto"/>
        <w:rPr>
          <w:sz w:val="20"/>
          <w:szCs w:val="20"/>
          <w:color w:val="auto"/>
        </w:rPr>
      </w:pPr>
      <w:r>
        <w:rPr>
          <w:rFonts w:ascii="Arial" w:cs="Arial" w:eastAsia="Arial" w:hAnsi="Arial"/>
          <w:sz w:val="17"/>
          <w:szCs w:val="17"/>
          <w:b w:val="1"/>
          <w:bCs w:val="1"/>
          <w:i w:val="1"/>
          <w:iCs w:val="1"/>
          <w:color w:val="auto"/>
        </w:rPr>
        <w:t>Your ability to transfer the New Notes may be limited by the absence of an active trading market, and there is no assurance that any active trading market will develop for the New Notes.</w:t>
      </w:r>
    </w:p>
    <w:p>
      <w:pPr>
        <w:spacing w:after="0" w:line="7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There is no established trading market for the New Notes. We do not intend to apply for listing of the New Notes on any national securities exchange or for quotation of the New Notes on any automated dealer quotation system. Therefore, an active market for the New Notes may not develop or, if developed, may not continue. The liquidity of any market for the New Notes will depend upon, among other things, the number of holders of the New Notes, our performance, the market for similar securities, the interest of securities dealers in making a market in the New Notes and other factors. If a market develops, the New Notes could trade at prices that may be lower than the initial offering price of the New Notes. Historically, the market for non-investment grade debt securities has been subject to disruptions that have caused substantial price volatility. The market, if any, for the New Notes may not be free from similar disruptions and any such disruptions may adversely affect the prices at which you may sell your New Notes.</w:t>
      </w:r>
    </w:p>
    <w:p>
      <w:pPr>
        <w:spacing w:after="0" w:line="185"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New Notes upon a Change of Control Triggering Event as required by the indenture governing the New Notes.</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Holders of the New Notes may require us to purchase their notes upon a “</w:t>
      </w:r>
      <w:r>
        <w:rPr>
          <w:rFonts w:ascii="Arial" w:cs="Arial" w:eastAsia="Arial" w:hAnsi="Arial"/>
          <w:sz w:val="17"/>
          <w:szCs w:val="17"/>
          <w:u w:val="single" w:color="auto"/>
          <w:color w:val="auto"/>
        </w:rPr>
        <w:t>Change of Control Triggering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Event</w:t>
      </w:r>
      <w:r>
        <w:rPr>
          <w:rFonts w:ascii="Arial" w:cs="Arial" w:eastAsia="Arial" w:hAnsi="Arial"/>
          <w:sz w:val="17"/>
          <w:szCs w:val="17"/>
          <w:color w:val="auto"/>
        </w:rPr>
        <w:t>” as defined under “</w:t>
      </w:r>
      <w:r>
        <w:rPr>
          <w:rFonts w:ascii="Arial" w:cs="Arial" w:eastAsia="Arial" w:hAnsi="Arial"/>
          <w:sz w:val="17"/>
          <w:szCs w:val="17"/>
          <w:u w:val="single" w:color="auto"/>
          <w:color w:val="auto"/>
        </w:rPr>
        <w:t>Description of the Notes — Change of Control Offer</w:t>
      </w:r>
      <w:r>
        <w:rPr>
          <w:rFonts w:ascii="Arial" w:cs="Arial" w:eastAsia="Arial" w:hAnsi="Arial"/>
          <w:sz w:val="17"/>
          <w:szCs w:val="17"/>
          <w:color w:val="auto"/>
        </w:rPr>
        <w:t>.” A Change of Control (as defined in such section of this prospectus) may also result in holders of certain of our future indebtedness having the right to require us to purchase or repay indebtedness issued under one or more indentures or other agreements. As a result, holders of such other indebtedness may have the ability to require us to repurchase those notes before the holders of the New Notes would have such repurchase rights. We cannot assure you that we would have sufficient financial resources, or would be able to arrange financing, to pay the purchase price of all notes that may be tendered by the holders thereof in such a circumstance plus any other indebtedness that may also become due. Furthermore, the terms of our then existing indebtedness or other agreements may contain covenants, events of default or other provisions that could be violated if a Change of Control were to occur or if we were required to purchase the New Notes and purchase or repay other indebtedness containing a similar repurchase or repayment requirement.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Change of Control Offer covenant provides limited protection.</w:t>
      </w:r>
    </w:p>
    <w:p>
      <w:pPr>
        <w:spacing w:after="0" w:line="14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The Change of Control Offer covenant is a result of negotiations between us and the purchasers of the Old Notes and is limited to the circumstances specified in “</w:t>
      </w:r>
      <w:r>
        <w:rPr>
          <w:rFonts w:ascii="Arial" w:cs="Arial" w:eastAsia="Arial" w:hAnsi="Arial"/>
          <w:sz w:val="18"/>
          <w:szCs w:val="18"/>
          <w:u w:val="single" w:color="auto"/>
          <w:color w:val="auto"/>
        </w:rPr>
        <w:t>Description of the Notes — Change of Control</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w:t>
      </w:r>
      <w:r>
        <w:rPr>
          <w:rFonts w:ascii="Arial" w:cs="Arial" w:eastAsia="Arial" w:hAnsi="Arial"/>
          <w:sz w:val="18"/>
          <w:szCs w:val="18"/>
          <w:color w:val="auto"/>
        </w:rPr>
        <w:t>.” We have no current intention to engage in a transaction involving a Change of Control Triggering Event, although it is possible that we could decide to do so in the future. We could, in the future, enter into certain transactions, including acquisitions, dispositions, refinancings or other recapitalizations, that would not constitute a Change of Control Triggering Event under the indenture, but that could increase the amount of indebtedness outstanding at such time or otherwise affect the capital structure or the credit ratings of the New Notes or us.</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7" w:lineRule="auto"/>
        <w:rPr>
          <w:sz w:val="20"/>
          <w:szCs w:val="20"/>
          <w:color w:val="auto"/>
        </w:rPr>
      </w:pPr>
      <w:r>
        <w:rPr>
          <w:rFonts w:ascii="Arial" w:cs="Arial" w:eastAsia="Arial" w:hAnsi="Arial"/>
          <w:sz w:val="18"/>
          <w:szCs w:val="18"/>
          <w:b w:val="1"/>
          <w:bCs w:val="1"/>
          <w:i w:val="1"/>
          <w:iCs w:val="1"/>
          <w:color w:val="auto"/>
        </w:rPr>
        <w:t>Beginning on January 30, 2026, the New Notes may be redeemed at our option, which limits the ability of holders of the New Notes to accrue interest over the full stated term of the New Notes.</w:t>
      </w:r>
    </w:p>
    <w:p>
      <w:pPr>
        <w:spacing w:after="0" w:line="89"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may, at our option, redeem the New Notes in whole or in part, beginning on January 30, 2026 at a redemption price equal to 100% of the principal amount of the New Notes to be redeemed plus accrued and unpaid interest to, but excluding, the date of redemption. You should not expect us to redeem any New Notes when they first become redeemable or on any particular date thereafter. If we redeem the New Notes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our credit ratings may adversely affect your investment in the New Notes.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credit ratings on the New Notes are an assessment by rating agencies of our ability to pay our debts when due. These ratings are not recommendations to purchase, hold or sell the New Notes, inasmuch as the ratings do not comment as to market price or suitability for a particular investor, are limited in scope, and do not address all material risks relating to an investment in the New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w:t>
      </w:r>
    </w:p>
    <w:p>
      <w:pPr>
        <w:spacing w:after="0" w:line="127"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Any ratings of our long-term debt are based on a number of factors, including our financial strength as well as factors not entirely within our control, including conditions affecting the financial services industry generally. There can be no assurance that we will not receive adverse changes in our ratings in the future, which could adversely affect the cost and other terms upon which we are able to obtain funding and the way in which we are perceived in the capital markets. Actual or anticipated changes or downgrades in our credit ratings, including any announcement that our ratings are under review for a downgrade, could affect the market value and liquidity of the New Notes and increase our borrowing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1260" w:right="579" w:firstLine="360"/>
        <w:spacing w:after="0" w:line="270" w:lineRule="auto"/>
        <w:rPr>
          <w:sz w:val="20"/>
          <w:szCs w:val="20"/>
          <w:color w:val="auto"/>
        </w:rPr>
      </w:pPr>
      <w:r>
        <w:rPr>
          <w:rFonts w:ascii="Arial" w:cs="Arial" w:eastAsia="Arial" w:hAnsi="Arial"/>
          <w:sz w:val="17"/>
          <w:szCs w:val="17"/>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16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In connection with the issuance of the Old Notes on April 30, 2021, we entered into registration rights agreement with certain of the purchasers of the Old Notes, which provides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81" w:lineRule="exact"/>
        <w:rPr>
          <w:sz w:val="20"/>
          <w:szCs w:val="20"/>
          <w:color w:val="auto"/>
        </w:rPr>
      </w:pPr>
    </w:p>
    <w:p>
      <w:pPr>
        <w:ind w:left="1800" w:right="59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Notes have been registered with the SEC under the Securities Act and, as a result, will not bear any legend restricting their transfer;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Old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Notes generally will not be subject to transfer restrictions;</w:t>
      </w:r>
    </w:p>
    <w:p>
      <w:pPr>
        <w:spacing w:after="0" w:line="103"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 or otherwise; and</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116"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The New Notes will evidence the same debt as the Old Notes. Holders of the New Notes will be entitled to the benefits of the indenture. Accordingly, the New Notes and the Old Notes will be treated as a single series of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122"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The exchange offer does not depend on any minimum aggregate principal amount of Old Notes being tendered for exchange.</w:t>
      </w:r>
    </w:p>
    <w:p>
      <w:pPr>
        <w:spacing w:after="0" w:line="90"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intend to conduct the exchange offer in accordance with the provisions of the registration rights agreement and the applicable requirements of the Exchange Act, and the related rules and regulations of the SEC applicable to transactions of this type.</w:t>
      </w:r>
    </w:p>
    <w:p>
      <w:pPr>
        <w:spacing w:after="0" w:line="11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12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 xml:space="preserve">If a holder of Old Notes validly tenders Old Notes in the exchange offer, the tendering holder will not be required to pay us brokerage commissions or fees. In addition, subject to the instructions in such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08"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Holders of outstanding Old Notes do not have any appraisal, dissenters’ or similar rights in connection with the exchange offer. Outstanding Old Notes which are not tendered, or are tendered but not accepted,</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8" w:lineRule="auto"/>
        <w:rPr>
          <w:sz w:val="20"/>
          <w:szCs w:val="20"/>
          <w:color w:val="auto"/>
        </w:rPr>
      </w:pPr>
      <w:r>
        <w:rPr>
          <w:rFonts w:ascii="Arial" w:cs="Arial" w:eastAsia="Arial" w:hAnsi="Arial"/>
          <w:sz w:val="18"/>
          <w:szCs w:val="18"/>
          <w:color w:val="auto"/>
        </w:rPr>
        <w:t>in connection with the exchange offer will remain outstanding. See “</w:t>
      </w:r>
      <w:r>
        <w:rPr>
          <w:rFonts w:ascii="Arial" w:cs="Arial" w:eastAsia="Arial" w:hAnsi="Arial"/>
          <w:sz w:val="18"/>
          <w:szCs w:val="18"/>
          <w:u w:val="single" w:color="auto"/>
          <w:color w:val="auto"/>
        </w:rPr>
        <w:t>Risk Factors — Risks Related to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Offer — If you do not properly tender your Old Notes, you will continue to hold unregistered Old Notes and your ability to transfer Old Notes will be adversely affected</w:t>
      </w:r>
      <w:r>
        <w:rPr>
          <w:rFonts w:ascii="Arial" w:cs="Arial" w:eastAsia="Arial" w:hAnsi="Arial"/>
          <w:sz w:val="18"/>
          <w:szCs w:val="18"/>
          <w:color w:val="auto"/>
        </w:rPr>
        <w:t>.”</w:t>
      </w:r>
    </w:p>
    <w:p>
      <w:pPr>
        <w:spacing w:after="0" w:line="97"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color w:val="auto"/>
        </w:rPr>
        <w:t>NEITHER WE NOR THE EXCHANGE AGENT ARE MAKING ANY RECOMMENDATION TO THE HOLDERS OF THE OUTSTANDING OLD NOTES AS TO WHETHER TO TENDER OR REFRAIN FROM TENDERING ALL OR ANY PORTION OF THEIR OUTSTANDING OLD NOTES IN THE EXCHANGE OFFER. IN ADDITION, NEITHER WE NOR THE EXCHANGE AGENT HAVE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62" w:lineRule="exact"/>
        <w:rPr>
          <w:sz w:val="20"/>
          <w:szCs w:val="20"/>
          <w:color w:val="auto"/>
        </w:rPr>
      </w:pPr>
    </w:p>
    <w:p>
      <w:pPr>
        <w:jc w:val="both"/>
        <w:ind w:left="1260" w:right="479" w:firstLine="360"/>
        <w:spacing w:after="0" w:line="270" w:lineRule="auto"/>
        <w:rPr>
          <w:sz w:val="20"/>
          <w:szCs w:val="20"/>
          <w:color w:val="auto"/>
        </w:rPr>
      </w:pPr>
      <w:r>
        <w:rPr>
          <w:rFonts w:ascii="Arial" w:cs="Arial" w:eastAsia="Arial" w:hAnsi="Arial"/>
          <w:sz w:val="17"/>
          <w:szCs w:val="17"/>
          <w:color w:val="auto"/>
        </w:rPr>
        <w:t>The following provides a summary of certain terms of the registration rights agreement. This summary is qualified in its entirety by reference to the complete version of the registration rights agreement, which is incorporated by reference as an exhibit to the registration statement of which this prospectus is a part.</w:t>
      </w:r>
    </w:p>
    <w:p>
      <w:pPr>
        <w:spacing w:after="0" w:line="96"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Under the terms of the registration rights agreement that we entered into with certain of the purchasers of the Old Notes at the time we issued the Old Notes, we agreed to register the New Notes and undertake this exchange offer. This exchange offer is intended to satisfy the rights of holders of Old Notes under the registration rights agreement. After the exchange offer is completed, we will have no further obligations, except under the limited circumstances described below, to provide for any exchange or undertake any further registration with respect to the Old Notes.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terms of the registration rights agreement, we agreed, among other things, to:</w:t>
      </w:r>
    </w:p>
    <w:p>
      <w:pPr>
        <w:spacing w:after="0" w:line="117" w:lineRule="exact"/>
        <w:rPr>
          <w:sz w:val="20"/>
          <w:szCs w:val="20"/>
          <w:color w:val="auto"/>
        </w:rPr>
      </w:pPr>
    </w:p>
    <w:p>
      <w:pPr>
        <w:ind w:left="1800" w:right="59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 a registration statement with the SEC under the Securities Act with respect to a registered offer to exchange the Old Notes for substantially identical notes that do not contain transfer restrictions and will be registered under the Securities Act; and</w:t>
      </w:r>
    </w:p>
    <w:p>
      <w:pPr>
        <w:spacing w:after="0" w:line="75"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our commercially reasonable efforts to cause that registration statement to become effective no later than 120 days after April 30, 2021.</w:t>
      </w:r>
    </w:p>
    <w:p>
      <w:pPr>
        <w:spacing w:after="0" w:line="89"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registration rights agreement also requires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w:t>
      </w:r>
    </w:p>
    <w:p>
      <w:pPr>
        <w:spacing w:after="0" w:line="120"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also agreed to issue and exchange New Notes for all Old Notes validly tendered and not validly withdrawn before the expiration of the exchange offer. We are sending this prospectus, together with a letter of transmittal for book-entry shares,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 and integral multiples of $1,000 in excess thereof.</w:t>
      </w:r>
    </w:p>
    <w:p>
      <w:pPr>
        <w:spacing w:after="0" w:line="123"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Eligibility; Transferability</w:t>
      </w:r>
    </w:p>
    <w:p>
      <w:pPr>
        <w:spacing w:after="0" w:line="14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We are making this exchange offer in reliance on interpretations of the staff of the SEC set forth in several no- action letters provided to other parties. We have not sought our own no -action letter from the staff of the SEC with respect to this particular exchange offer. However, based on these existing SEC staff interpretations, we believe that you, or any other person receiving New Notes, may offer for resale, resell or</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19"/>
        <w:spacing w:after="0" w:line="277" w:lineRule="auto"/>
        <w:rPr>
          <w:sz w:val="20"/>
          <w:szCs w:val="20"/>
          <w:color w:val="auto"/>
        </w:rPr>
      </w:pPr>
      <w:r>
        <w:rPr>
          <w:rFonts w:ascii="Arial" w:cs="Arial" w:eastAsia="Arial" w:hAnsi="Arial"/>
          <w:sz w:val="18"/>
          <w:szCs w:val="18"/>
          <w:color w:val="auto"/>
        </w:rPr>
        <w:t>otherwise transfer the New Notes without complying with the registration and prospectus delivery requirements of the U.S. federal securities laws, if:</w:t>
      </w:r>
    </w:p>
    <w:p>
      <w:pPr>
        <w:spacing w:after="0" w:line="62" w:lineRule="exact"/>
        <w:rPr>
          <w:sz w:val="20"/>
          <w:szCs w:val="20"/>
          <w:color w:val="auto"/>
        </w:rPr>
      </w:pPr>
    </w:p>
    <w:p>
      <w:pPr>
        <w:ind w:left="1800" w:right="4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or the person receiving the New Notes is, acquiring the New Notes in the ordinary course of business;</w:t>
      </w:r>
    </w:p>
    <w:p>
      <w:pPr>
        <w:spacing w:after="0" w:line="62" w:lineRule="exact"/>
        <w:rPr>
          <w:rFonts w:ascii="Arial" w:cs="Arial" w:eastAsia="Arial" w:hAnsi="Arial"/>
          <w:sz w:val="18"/>
          <w:szCs w:val="18"/>
          <w:color w:val="auto"/>
        </w:rPr>
      </w:pPr>
    </w:p>
    <w:p>
      <w:pPr>
        <w:ind w:left="1800" w:right="839" w:hanging="180"/>
        <w:spacing w:after="0" w:line="308"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you do not, nor does any such person, have an arrangement or understanding with any person to participate in any distribution (within the meaning of the Securities Act) of the New Notes;</w:t>
      </w:r>
    </w:p>
    <w:p>
      <w:pPr>
        <w:spacing w:after="0" w:line="51" w:lineRule="exact"/>
        <w:rPr>
          <w:rFonts w:ascii="Arial" w:cs="Arial" w:eastAsia="Arial" w:hAnsi="Arial"/>
          <w:sz w:val="17"/>
          <w:szCs w:val="17"/>
          <w:color w:val="auto"/>
        </w:rPr>
      </w:pPr>
    </w:p>
    <w:p>
      <w:pPr>
        <w:ind w:left="1800" w:right="5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not, nor is any such person, our “affiliate” as such term is defined under Rule 405 under the Securities Act;</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are not acting on behalf of any person who could not truthfully make these statements.</w:t>
      </w:r>
    </w:p>
    <w:p>
      <w:pPr>
        <w:spacing w:after="0" w:line="144"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To participate in the exchange offer, you must represent as a holder of Old Notes that each of these statements is true.</w:t>
      </w:r>
    </w:p>
    <w:p>
      <w:pPr>
        <w:spacing w:after="0" w:line="103"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In addition, in order for broker-dealers registered under the Exchange Act to participate in the exchange offer, each such broker-dealer must also (i) 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of the exchange offer, we will amend or supplement this prospectus to expedite or facilitate the disposition of any New Notes by such broker-dealers.</w:t>
      </w:r>
    </w:p>
    <w:p>
      <w:pPr>
        <w:spacing w:after="0" w:line="117"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Any holder of Old Notes (i) who is our “affiliate” (as such term is defined under Rule 405 under the Securities Act), (ii) who does not acquire the New Notes in the ordinary course of business, (iii) who intends to participate in the exchange offer for the purpose of distributing the New Notes, or (iv) who is a broker-dealer that purchased the Old Notes directly from us:</w:t>
      </w:r>
    </w:p>
    <w:p>
      <w:pPr>
        <w:spacing w:after="0" w:line="79" w:lineRule="exact"/>
        <w:rPr>
          <w:sz w:val="20"/>
          <w:szCs w:val="20"/>
          <w:color w:val="auto"/>
        </w:rPr>
      </w:pPr>
    </w:p>
    <w:p>
      <w:pPr>
        <w:ind w:left="1800" w:right="6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staff of the SEC set forth in the no-action letters described above;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not be able to tender Old Notes in the exchange offer; and</w:t>
      </w:r>
    </w:p>
    <w:p>
      <w:pPr>
        <w:spacing w:after="0" w:line="130" w:lineRule="exact"/>
        <w:rPr>
          <w:rFonts w:ascii="Arial" w:cs="Arial" w:eastAsia="Arial" w:hAnsi="Arial"/>
          <w:sz w:val="18"/>
          <w:szCs w:val="18"/>
          <w:color w:val="auto"/>
        </w:rPr>
      </w:pPr>
    </w:p>
    <w:p>
      <w:pPr>
        <w:ind w:left="1800" w:right="459" w:hanging="180"/>
        <w:spacing w:after="0" w:line="263"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103"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Expiration of the Exchange Offer; Extensions; Amendments</w:t>
      </w:r>
    </w:p>
    <w:p>
      <w:pPr>
        <w:spacing w:after="0" w:line="162"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exchange offer will expire at 11:59 p.m., New York City time on August 26, 2021,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spacing w:after="0" w:line="263" w:lineRule="auto"/>
        <w:rPr>
          <w:sz w:val="20"/>
          <w:szCs w:val="20"/>
          <w:color w:val="auto"/>
        </w:rPr>
      </w:pPr>
      <w:r>
        <w:rPr>
          <w:rFonts w:ascii="Arial" w:cs="Arial" w:eastAsia="Arial" w:hAnsi="Arial"/>
          <w:sz w:val="18"/>
          <w:szCs w:val="18"/>
          <w:color w:val="auto"/>
        </w:rPr>
        <w:t>New York City time on the next business day after the previously scheduled expiration date. During any such extension, all Old Notes previously tendered will remain subject to the exchange offer and may be accepted for exchange by us.</w:t>
      </w:r>
    </w:p>
    <w:p>
      <w:pPr>
        <w:spacing w:after="0" w:line="103"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 xml:space="preserve">We reserve the right to extend the exchange offer, delay accepting any tendered Old Notes or, if any of the conditions described below under the heading “— </w:t>
      </w:r>
      <w:r>
        <w:rPr>
          <w:rFonts w:ascii="Arial" w:cs="Arial" w:eastAsia="Arial" w:hAnsi="Arial"/>
          <w:sz w:val="17"/>
          <w:szCs w:val="17"/>
          <w:u w:val="single" w:color="auto"/>
          <w:color w:val="auto"/>
        </w:rPr>
        <w:t>Conditions</w:t>
      </w:r>
      <w:r>
        <w:rPr>
          <w:rFonts w:ascii="Arial" w:cs="Arial" w:eastAsia="Arial" w:hAnsi="Arial"/>
          <w:sz w:val="17"/>
          <w:szCs w:val="17"/>
          <w:color w:val="auto"/>
        </w:rPr>
        <w:t>”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w:t>
      </w:r>
    </w:p>
    <w:p>
      <w:pPr>
        <w:spacing w:after="0" w:line="110"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If we amend the exchange offer in a manner that we consider material, we will disclose that amendment by means of a prospectus supplement, and we will extend the exchange offer so that at least five business days remain in the exchange offer following notice of the material change.</w:t>
      </w:r>
    </w:p>
    <w:p>
      <w:pPr>
        <w:spacing w:after="0" w:line="116"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If we determine to make a public announcement of any delay, extension, amendment or termination of the exchange offer, we will do so by making a timely release through an appropriate news agency.</w:t>
      </w:r>
    </w:p>
    <w:p>
      <w:pPr>
        <w:spacing w:after="0" w:line="65"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If we terminate or withdraw the exchange offer, we will promptly return any Old Notes deposited, under the exchange offer as required by Rule 14e-1 (c) under the Exchange Act.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Conditions</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79" w:lineRule="exact"/>
        <w:rPr>
          <w:sz w:val="20"/>
          <w:szCs w:val="20"/>
          <w:color w:val="auto"/>
        </w:rPr>
      </w:pPr>
    </w:p>
    <w:p>
      <w:pPr>
        <w:ind w:left="1800" w:right="87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Old Notes are tendered to us other than in accordance with the terms and conditions of the exchange offer;</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determine that the exchange offer violates any law, statute, rule, regulation or interpretation by the staff of the SEC; or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116"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107"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In any such event, we will use our commercially reasonable efforts to obtain the withdrawal of any stop order as soon as practicable.</w:t>
      </w:r>
    </w:p>
    <w:p>
      <w:pPr>
        <w:spacing w:after="0" w:line="120"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 xml:space="preserve">Further, we will not be obligated to accept for exchange the Old Notes of any holder that has not made to us the representations described under “— </w:t>
      </w:r>
      <w:r>
        <w:rPr>
          <w:rFonts w:ascii="Arial" w:cs="Arial" w:eastAsia="Arial" w:hAnsi="Arial"/>
          <w:sz w:val="17"/>
          <w:szCs w:val="17"/>
          <w:u w:val="single" w:color="auto"/>
          <w:color w:val="auto"/>
        </w:rPr>
        <w:t>Eligibility; Transferability</w:t>
      </w:r>
      <w:r>
        <w:rPr>
          <w:rFonts w:ascii="Arial" w:cs="Arial" w:eastAsia="Arial" w:hAnsi="Arial"/>
          <w:sz w:val="17"/>
          <w:szCs w:val="17"/>
          <w:color w:val="auto"/>
        </w:rPr>
        <w:t>” and “</w:t>
      </w:r>
      <w:r>
        <w:rPr>
          <w:rFonts w:ascii="Arial" w:cs="Arial" w:eastAsia="Arial" w:hAnsi="Arial"/>
          <w:sz w:val="17"/>
          <w:szCs w:val="17"/>
          <w:u w:val="single" w:color="auto"/>
          <w:color w:val="auto"/>
        </w:rPr>
        <w:t>Plan of Distribution</w:t>
      </w:r>
      <w:r>
        <w:rPr>
          <w:rFonts w:ascii="Arial" w:cs="Arial" w:eastAsia="Arial" w:hAnsi="Arial"/>
          <w:sz w:val="17"/>
          <w:szCs w:val="17"/>
          <w:color w:val="auto"/>
        </w:rPr>
        <w:t>.”</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Procedures for Tendering Old Notes</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In order to participate in the exchange offer, you must validly tender your Old Notes to the exchange agent, as described below, by the expiration date. It is your responsibility to validly tender your Old Notes. We have the right to waive any defects. However, we are not required to waive defects and are not required to notify you of defects in your tender.</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 xml:space="preserve">If you have any questions or need help in exchanging your Old Notes, please call the exchange agent, whose address and phone number are set forth in “— </w:t>
      </w:r>
      <w:r>
        <w:rPr>
          <w:rFonts w:ascii="Arial" w:cs="Arial" w:eastAsia="Arial" w:hAnsi="Arial"/>
          <w:sz w:val="18"/>
          <w:szCs w:val="18"/>
          <w:u w:val="single" w:color="auto"/>
          <w:color w:val="auto"/>
        </w:rPr>
        <w:t>Exchange Agent</w:t>
      </w:r>
      <w:r>
        <w:rPr>
          <w:rFonts w:ascii="Arial" w:cs="Arial" w:eastAsia="Arial" w:hAnsi="Arial"/>
          <w:sz w:val="18"/>
          <w:szCs w:val="18"/>
          <w:color w:val="auto"/>
        </w:rPr>
        <w:t>.”</w:t>
      </w:r>
    </w:p>
    <w:p>
      <w:pPr>
        <w:spacing w:after="0" w:line="90"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for book-entry notes)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w:t>
      </w:r>
    </w:p>
    <w:p>
      <w:pPr>
        <w:spacing w:after="0" w:line="116"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All of the Old Notes were issued in book-entry form, and are currently represented by global certificates held for the account of DTC. Accordingly, DTC will be the only entity that can tender such Old Notes for New Notes. Therefore, to tender book-entry form Old Notes subject to the exchange offer and to obtain New Notes you must:</w:t>
      </w:r>
    </w:p>
    <w:p>
      <w:pPr>
        <w:spacing w:after="0" w:line="80" w:lineRule="exact"/>
        <w:rPr>
          <w:sz w:val="20"/>
          <w:szCs w:val="20"/>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DTC’s ATOP procedures described below; and</w:t>
      </w:r>
    </w:p>
    <w:p>
      <w:pPr>
        <w:spacing w:after="0" w:line="117" w:lineRule="exact"/>
        <w:rPr>
          <w:rFonts w:ascii="Arial" w:cs="Arial" w:eastAsia="Arial" w:hAnsi="Arial"/>
          <w:sz w:val="18"/>
          <w:szCs w:val="18"/>
          <w:color w:val="auto"/>
        </w:rPr>
      </w:pPr>
    </w:p>
    <w:p>
      <w:pPr>
        <w:jc w:val="both"/>
        <w:ind w:left="1800" w:right="439" w:hanging="180"/>
        <w:spacing w:after="0" w:line="259"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w:t>
      </w:r>
    </w:p>
    <w:p>
      <w:pPr>
        <w:spacing w:after="0" w:line="106"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the expiration date of the exchange offer.</w:t>
      </w:r>
    </w:p>
    <w:p>
      <w:pPr>
        <w:spacing w:after="0" w:line="12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for book-entry notes, and that the agreement may be enforced against such participant.</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agent’s message must include the following information:</w:t>
      </w:r>
    </w:p>
    <w:p>
      <w:pPr>
        <w:spacing w:after="0" w:line="117" w:lineRule="exact"/>
        <w:rPr>
          <w:sz w:val="20"/>
          <w:szCs w:val="20"/>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the beneficial owner tendering such Old Notes;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 number of the beneficial owner tendering such Old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principal amount of Old Notes tendered by such beneficial owner; and</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 confirmation that the beneficial owner of the Old Notes has made the representations for our benefit set forth under “— </w:t>
      </w:r>
      <w:r>
        <w:rPr>
          <w:rFonts w:ascii="Arial" w:cs="Arial" w:eastAsia="Arial" w:hAnsi="Arial"/>
          <w:sz w:val="18"/>
          <w:szCs w:val="18"/>
          <w:u w:val="single" w:color="auto"/>
          <w:color w:val="auto"/>
        </w:rPr>
        <w:t>Representations</w:t>
      </w:r>
      <w:r>
        <w:rPr>
          <w:rFonts w:ascii="Arial" w:cs="Arial" w:eastAsia="Arial" w:hAnsi="Arial"/>
          <w:sz w:val="18"/>
          <w:szCs w:val="18"/>
          <w:color w:val="auto"/>
        </w:rPr>
        <w:t>” below.</w:t>
      </w:r>
    </w:p>
    <w:p>
      <w:pPr>
        <w:spacing w:after="0" w:line="103"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77" w:lineRule="auto"/>
        <w:rPr>
          <w:sz w:val="20"/>
          <w:szCs w:val="20"/>
          <w:color w:val="auto"/>
        </w:rPr>
      </w:pPr>
      <w:r>
        <w:rPr>
          <w:rFonts w:ascii="Arial" w:cs="Arial" w:eastAsia="Arial" w:hAnsi="Arial"/>
          <w:sz w:val="18"/>
          <w:szCs w:val="18"/>
          <w:color w:val="auto"/>
        </w:rPr>
        <w:t>holder. Such non-exchanged Old Notes will be credited to an account maintained with DTC. These actions will occur promptly after the expiration or termination of the exchange offer.</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for book-entry notes. By using the ATOP procedures to exchange Old Notes, you will not be required to deliver such letter of transmittal to the exchange agent. However, you will be bound by its terms, and you will be deemed to have made the acknowledgements and the representations and warranties it contains, just as if you had signed it.</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There is no procedure for guaranteed late delivery of the book-entry form Old Notes.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Representations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 tendering Old Notes, each holder is deemed to have represented to us that:</w:t>
      </w:r>
    </w:p>
    <w:p>
      <w:pPr>
        <w:spacing w:after="0" w:line="117"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New Notes that you receive will be acquired in the ordinary course of business;</w:t>
      </w:r>
    </w:p>
    <w:p>
      <w:pPr>
        <w:spacing w:after="0" w:line="144" w:lineRule="exact"/>
        <w:rPr>
          <w:rFonts w:ascii="Arial" w:cs="Arial" w:eastAsia="Arial" w:hAnsi="Arial"/>
          <w:sz w:val="18"/>
          <w:szCs w:val="18"/>
          <w:color w:val="auto"/>
        </w:rPr>
      </w:pPr>
    </w:p>
    <w:p>
      <w:pPr>
        <w:jc w:val="both"/>
        <w:ind w:left="1800" w:right="57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in the distribution (within the meaning of the Securities Act) of the New Notes in violation of the provisions of the Securities Act;</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are not an “affiliate” (within the meaning of Rule 405 under the Securities Act); and</w:t>
      </w:r>
    </w:p>
    <w:p>
      <w:pPr>
        <w:spacing w:after="0" w:line="144"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Withdrawal of Tenders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Except as otherwise provided in this prospectus, you may validly withdraw your tender of Old Notes at any time prior to 5:00 p.m., New York City time, on the expiration date of the exchange offer. For a withdrawal to be effective you must comply with the appropriate procedures of DTC’s ATOP system. Any such notice of withdrawal must:</w:t>
      </w:r>
    </w:p>
    <w:p>
      <w:pPr>
        <w:spacing w:after="0" w:line="79"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the name of the tendering holder of Old Notes;</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amount of the Old Notes delivered for exchange;</w:t>
      </w:r>
    </w:p>
    <w:p>
      <w:pPr>
        <w:spacing w:after="0" w:line="144"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statement that such holder is withdrawing its election to have such Old Notes exchanged; and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specify the name and number of the account at DTC to be credited with the withdrawn Old Notes.</w:t>
      </w:r>
    </w:p>
    <w:p>
      <w:pPr>
        <w:spacing w:after="0" w:line="169"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 xml:space="preserve">We will determine all questions as to the validity, form and eligibility (including time of receipt) of such withdrawal notices. Any Old Notes so withdrawn will be considered not to have been validly tendered for purposes of the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exchange offer. Validly withdrawn Old Notes may be re-tendered by following one of the procedures described above under “— </w:t>
      </w:r>
      <w:r>
        <w:rPr>
          <w:rFonts w:ascii="Arial" w:cs="Arial" w:eastAsia="Arial" w:hAnsi="Arial"/>
          <w:sz w:val="17"/>
          <w:szCs w:val="17"/>
          <w:u w:val="single" w:color="auto"/>
          <w:color w:val="auto"/>
        </w:rPr>
        <w:t>Procedures for Tenderin</w:t>
      </w:r>
      <w:r>
        <w:rPr>
          <w:rFonts w:ascii="Arial" w:cs="Arial" w:eastAsia="Arial" w:hAnsi="Arial"/>
          <w:sz w:val="17"/>
          <w:szCs w:val="17"/>
          <w:color w:val="auto"/>
        </w:rPr>
        <w:t>g” at any time prior to the expiration date of the exchange offer.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Agent</w:t>
      </w:r>
    </w:p>
    <w:p>
      <w:pPr>
        <w:spacing w:after="0" w:line="148" w:lineRule="exact"/>
        <w:rPr>
          <w:sz w:val="20"/>
          <w:szCs w:val="20"/>
          <w:color w:val="auto"/>
        </w:rPr>
      </w:pPr>
    </w:p>
    <w:p>
      <w:pPr>
        <w:ind w:left="1260" w:right="599" w:firstLine="360"/>
        <w:spacing w:after="0" w:line="286" w:lineRule="auto"/>
        <w:rPr>
          <w:sz w:val="20"/>
          <w:szCs w:val="20"/>
          <w:color w:val="auto"/>
        </w:rPr>
      </w:pPr>
      <w:r>
        <w:rPr>
          <w:rFonts w:ascii="Arial" w:cs="Arial" w:eastAsia="Arial" w:hAnsi="Arial"/>
          <w:sz w:val="17"/>
          <w:szCs w:val="17"/>
          <w:color w:val="auto"/>
        </w:rPr>
        <w:t>UMB Bank, NA, the trustee under the indenture, has been appointed the exchange agent for this exchange offer. The letters of transmittal and all correspondence in connection with this exchange offer should be sent or delivered by each holder of Old Notes, or a beneficial owner’s commercial bank, broker,</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dealer, trust company or other nominee, to the exchange agent as follows:</w:t>
      </w:r>
    </w:p>
    <w:p>
      <w:pPr>
        <w:sectPr>
          <w:pgSz w:w="11900" w:h="16838" w:orient="portrait"/>
          <w:cols w:equalWidth="0" w:num="1">
            <w:col w:w="9879"/>
          </w:cols>
          <w:pgMar w:left="580" w:top="131" w:right="1440" w:bottom="1440" w:gutter="0" w:footer="0" w:header="0"/>
        </w:sectPr>
      </w:pP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By Mail or Hand Delivery: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UMB Bank, NA</w:t>
      </w:r>
    </w:p>
    <w:p>
      <w:pPr>
        <w:spacing w:after="0" w:line="23"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5480"/>
        <w:spacing w:after="0"/>
        <w:rPr>
          <w:sz w:val="20"/>
          <w:szCs w:val="20"/>
          <w:color w:val="auto"/>
        </w:rPr>
      </w:pPr>
      <w:r>
        <w:rPr>
          <w:rFonts w:ascii="Arial" w:cs="Arial" w:eastAsia="Arial" w:hAnsi="Arial"/>
          <w:sz w:val="17"/>
          <w:szCs w:val="17"/>
          <w:color w:val="auto"/>
        </w:rPr>
        <w:t>Attn: Corporate Trust and Escrow Services</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5555 San Felipe, Suite 870</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Houston, Texas 77056</w:t>
      </w:r>
    </w:p>
    <w:p>
      <w:pPr>
        <w:sectPr>
          <w:pgSz w:w="11900" w:h="16838" w:orient="portrait"/>
          <w:cols w:equalWidth="0" w:num="1">
            <w:col w:w="9879"/>
          </w:cols>
          <w:pgMar w:left="580" w:top="131" w:right="1440" w:bottom="1440" w:gutter="0" w:footer="0" w:header="0"/>
          <w:type w:val="continuous"/>
        </w:sectPr>
      </w:pP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Telephone: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ind w:right="3239"/>
        <w:spacing w:after="0"/>
        <w:rPr>
          <w:sz w:val="20"/>
          <w:szCs w:val="20"/>
          <w:color w:val="auto"/>
        </w:rPr>
      </w:pPr>
      <w:r>
        <w:rPr>
          <w:rFonts w:ascii="Arial" w:cs="Arial" w:eastAsia="Arial" w:hAnsi="Arial"/>
          <w:sz w:val="16"/>
          <w:szCs w:val="16"/>
          <w:color w:val="auto"/>
        </w:rPr>
        <w:t>(713) 300-0587</w:t>
      </w:r>
    </w:p>
    <w:p>
      <w:pPr>
        <w:spacing w:after="0" w:line="73"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jc w:val="center"/>
        <w:ind w:right="3239"/>
        <w:spacing w:after="0"/>
        <w:rPr>
          <w:sz w:val="20"/>
          <w:szCs w:val="20"/>
          <w:color w:val="auto"/>
        </w:rPr>
      </w:pPr>
      <w:r>
        <w:rPr>
          <w:rFonts w:ascii="Arial" w:cs="Arial" w:eastAsia="Arial" w:hAnsi="Arial"/>
          <w:sz w:val="16"/>
          <w:szCs w:val="16"/>
          <w:color w:val="auto"/>
        </w:rPr>
        <w:t>(214) 389-5949</w:t>
      </w:r>
    </w:p>
    <w:p>
      <w:pPr>
        <w:spacing w:after="0" w:line="72"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mauri.cowen@umb.com</w:t>
      </w:r>
    </w:p>
    <w:p>
      <w:pPr>
        <w:spacing w:after="0" w:line="156" w:lineRule="exact"/>
        <w:rPr>
          <w:sz w:val="20"/>
          <w:szCs w:val="20"/>
          <w:color w:val="auto"/>
        </w:rPr>
      </w:pPr>
    </w:p>
    <w:p>
      <w:pPr>
        <w:sectPr>
          <w:pgSz w:w="11900" w:h="16838" w:orient="portrait"/>
          <w:cols w:equalWidth="0" w:num="2">
            <w:col w:w="4760" w:space="720"/>
            <w:col w:w="4399"/>
          </w:cols>
          <w:pgMar w:left="580" w:top="131" w:right="1440" w:bottom="1440" w:gutter="0" w:footer="0" w:header="0"/>
          <w:type w:val="continuous"/>
        </w:sectPr>
      </w:pPr>
    </w:p>
    <w:p>
      <w:pPr>
        <w:ind w:left="1260" w:right="459" w:firstLine="360"/>
        <w:spacing w:after="0" w:line="291" w:lineRule="auto"/>
        <w:rPr>
          <w:sz w:val="20"/>
          <w:szCs w:val="20"/>
          <w:color w:val="auto"/>
        </w:rPr>
      </w:pPr>
      <w:r>
        <w:rPr>
          <w:rFonts w:ascii="Arial" w:cs="Arial" w:eastAsia="Arial" w:hAnsi="Arial"/>
          <w:sz w:val="17"/>
          <w:szCs w:val="17"/>
          <w:color w:val="auto"/>
        </w:rPr>
        <w:t>We will pay the exchange agent reasonable and customary fees for its services (including attorney’s fees) and will reimburse it for its reasonable, out-of-pocket expenses in connection with this exchange offer.</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Fees and Expenses</w:t>
      </w:r>
    </w:p>
    <w:p>
      <w:pPr>
        <w:spacing w:after="0" w:line="162"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We will bear the expenses of soliciting tenders of the Old Notes and issuance of the New Notes. The principal solicitation is being made by mail. However, we may make additional solicitations by email, telephone or in person by our officers and employees and those of our affiliates.</w:t>
      </w:r>
    </w:p>
    <w:p>
      <w:pPr>
        <w:spacing w:after="0" w:line="96"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108" w:lineRule="exact"/>
        <w:rPr>
          <w:sz w:val="20"/>
          <w:szCs w:val="20"/>
          <w:color w:val="auto"/>
        </w:rPr>
      </w:pPr>
    </w:p>
    <w:p>
      <w:pPr>
        <w:jc w:val="both"/>
        <w:ind w:left="1260" w:right="739" w:firstLine="360"/>
        <w:spacing w:after="0" w:line="248" w:lineRule="auto"/>
        <w:rPr>
          <w:sz w:val="20"/>
          <w:szCs w:val="20"/>
          <w:color w:val="auto"/>
        </w:rPr>
      </w:pPr>
      <w:r>
        <w:rPr>
          <w:rFonts w:ascii="Arial" w:cs="Arial" w:eastAsia="Arial" w:hAnsi="Arial"/>
          <w:sz w:val="18"/>
          <w:szCs w:val="18"/>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74" w:lineRule="exact"/>
        <w:rPr>
          <w:sz w:val="20"/>
          <w:szCs w:val="20"/>
          <w:color w:val="auto"/>
        </w:rPr>
      </w:pPr>
    </w:p>
    <w:p>
      <w:pPr>
        <w:ind w:left="1800" w:right="559" w:hanging="180"/>
        <w:spacing w:after="0" w:line="308"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New Notes and/or substitute Old Notes not exchanged are to be delivered to, or registered or issued in the name of, any person other than the registered holder of the Old Notes so exchanged;</w:t>
      </w:r>
    </w:p>
    <w:p>
      <w:pPr>
        <w:spacing w:after="0" w:line="38"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tendered Old Notes are registered in the name of any person other than the person signing such letter of transmittal; or</w:t>
      </w:r>
    </w:p>
    <w:p>
      <w:pPr>
        <w:spacing w:after="0" w:line="62"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transfer tax is imposed for any reason other than the exchange of Old Notes under the exchange offer.</w:t>
      </w:r>
    </w:p>
    <w:p>
      <w:pPr>
        <w:spacing w:after="0" w:line="89"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If satisfactory evidence of payment of transfer taxes is not submitted with such letter of transmittal, the amount of any transfer taxes will be billed to the tendering holder.</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Accounting Treatment</w:t>
      </w:r>
    </w:p>
    <w:p>
      <w:pPr>
        <w:spacing w:after="0" w:line="162"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We will record the New Notes at the same carrying value as the Old Notes reflected in our accounting records on the date of the exchange. Accordingly, we will not recognize any gain or loss for accounting purposes upon completion of the exchange offer.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Consequences of Failure to Exchange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Old Notes that are not exchanged will remain “restricted securities” within the meaning of Rule 144(a)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 under the Securities Act.</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Accordingly, they may not be offered, sold, pledged or otherwise transferred except:</w:t>
      </w:r>
    </w:p>
    <w:p>
      <w:pPr>
        <w:spacing w:after="0" w:line="117"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us or to any of our subsidiaries;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a registration statement which has been declared effective under the Securities Act;</w:t>
      </w:r>
    </w:p>
    <w:p>
      <w:pPr>
        <w:spacing w:after="0" w:line="103"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spacing w:after="0" w:line="277" w:lineRule="auto"/>
        <w:rPr>
          <w:sz w:val="20"/>
          <w:szCs w:val="20"/>
          <w:color w:val="auto"/>
        </w:rPr>
      </w:pPr>
      <w:r>
        <w:rPr>
          <w:rFonts w:ascii="Arial" w:cs="Arial" w:eastAsia="Arial" w:hAnsi="Arial"/>
          <w:sz w:val="18"/>
          <w:szCs w:val="18"/>
          <w:color w:val="auto"/>
        </w:rPr>
        <w:t>account of another qualified institutional buyer, in each case to whom notice is given that the transfer is being made in reliance on Rule 144A; or</w:t>
      </w:r>
    </w:p>
    <w:p>
      <w:pPr>
        <w:spacing w:after="0" w:line="62" w:lineRule="exact"/>
        <w:rPr>
          <w:sz w:val="20"/>
          <w:szCs w:val="20"/>
          <w:color w:val="auto"/>
        </w:rPr>
      </w:pPr>
    </w:p>
    <w:p>
      <w:pPr>
        <w:ind w:left="1800" w:right="479" w:hanging="180"/>
        <w:spacing w:after="0" w:line="286"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each case subject to compliance with any applicable foreign, state or other securities laws.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Information Regarding the Registration Rights Agreement</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As noted above, we are effecting the exchange offer to comply with the registration rights agreement. The registration rights agreement requires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event that:</w:t>
      </w:r>
    </w:p>
    <w:p>
      <w:pPr>
        <w:spacing w:after="0" w:line="80"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registration statement is not filed with the SEC on or prior to the 60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after April 30, 2021;</w:t>
      </w:r>
    </w:p>
    <w:p>
      <w:pPr>
        <w:spacing w:after="0" w:line="65" w:lineRule="exact"/>
        <w:rPr>
          <w:rFonts w:ascii="Arial" w:cs="Arial" w:eastAsia="Arial" w:hAnsi="Arial"/>
          <w:sz w:val="17"/>
          <w:szCs w:val="17"/>
          <w:color w:val="auto"/>
        </w:rPr>
      </w:pPr>
    </w:p>
    <w:p>
      <w:pPr>
        <w:ind w:left="1800" w:right="799" w:hanging="180"/>
        <w:spacing w:after="0" w:line="228"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registration statement has not been declared effective by the SEC on or prior to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after April 30, 2021; or</w:t>
      </w:r>
    </w:p>
    <w:p>
      <w:pPr>
        <w:spacing w:after="0" w:line="57" w:lineRule="exact"/>
        <w:rPr>
          <w:rFonts w:ascii="Arial" w:cs="Arial" w:eastAsia="Arial" w:hAnsi="Arial"/>
          <w:sz w:val="18"/>
          <w:szCs w:val="18"/>
          <w:color w:val="auto"/>
        </w:rPr>
      </w:pPr>
    </w:p>
    <w:p>
      <w:pPr>
        <w:ind w:left="1800" w:right="779" w:hanging="180"/>
        <w:spacing w:after="0" w:line="235"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exchange offer is not completed on or prior to the 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effective date of the registration statement;</w:t>
      </w:r>
    </w:p>
    <w:p>
      <w:pPr>
        <w:spacing w:after="0" w:line="95" w:lineRule="exact"/>
        <w:rPr>
          <w:rFonts w:ascii="Arial" w:cs="Arial" w:eastAsia="Arial" w:hAnsi="Arial"/>
          <w:sz w:val="18"/>
          <w:szCs w:val="18"/>
          <w:color w:val="auto"/>
        </w:rPr>
      </w:pPr>
    </w:p>
    <w:p>
      <w:pPr>
        <w:ind w:left="1800" w:right="459" w:hanging="180"/>
        <w:spacing w:after="0" w:line="255"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on the Old Notes will be increased by a rate of 0.25% per annum immediately following such registration default and will increase by 0.25% per annum immediately following each 90-day period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spacing w:after="0" w:line="111" w:lineRule="exact"/>
        <w:rPr>
          <w:sz w:val="20"/>
          <w:szCs w:val="20"/>
          <w:color w:val="auto"/>
        </w:rPr>
      </w:pPr>
    </w:p>
    <w:p>
      <w:pPr>
        <w:ind w:left="1260" w:right="819" w:firstLine="360"/>
        <w:spacing w:after="0" w:line="286" w:lineRule="auto"/>
        <w:rPr>
          <w:sz w:val="20"/>
          <w:szCs w:val="20"/>
          <w:color w:val="auto"/>
        </w:rPr>
      </w:pPr>
      <w:r>
        <w:rPr>
          <w:rFonts w:ascii="Arial" w:cs="Arial" w:eastAsia="Arial" w:hAnsi="Arial"/>
          <w:sz w:val="17"/>
          <w:szCs w:val="17"/>
          <w:color w:val="auto"/>
        </w:rPr>
        <w:t>Our obligation to register the New Notes will terminate upon completion of the exchange offer. However, under certain limited circumstances specified in the registration rights agreement, we may be required to file a shelf registration statement for a continuous offer in connection with the 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THE NOTES</w:t>
      </w:r>
    </w:p>
    <w:p>
      <w:pPr>
        <w:spacing w:after="0" w:line="148" w:lineRule="exact"/>
        <w:rPr>
          <w:sz w:val="20"/>
          <w:szCs w:val="20"/>
          <w:color w:val="auto"/>
        </w:rPr>
      </w:pPr>
    </w:p>
    <w:p>
      <w:pPr>
        <w:ind w:left="1260" w:right="519" w:firstLine="360"/>
        <w:spacing w:after="0" w:line="239" w:lineRule="auto"/>
        <w:rPr>
          <w:sz w:val="20"/>
          <w:szCs w:val="20"/>
          <w:color w:val="auto"/>
        </w:rPr>
      </w:pPr>
      <w:r>
        <w:rPr>
          <w:rFonts w:ascii="Arial" w:cs="Arial" w:eastAsia="Arial" w:hAnsi="Arial"/>
          <w:sz w:val="18"/>
          <w:szCs w:val="18"/>
          <w:color w:val="auto"/>
        </w:rPr>
        <w:t>On April 30, 2021, we issued $175,000,000 in aggregate principal amount of our 5.00% Senior Notes due 2026, which we have referred to in this prospectus as the Old Notes. The Old Notes were issued in a private placement transaction to certain qualified institutional buyers and accredited investors, and as such, were not registered under the Securities Act. The Old Notes were issued under an indenture dated as of April 30, 2021, between Arbor Realty Trust, Inc., as issuer, and UMB Bank,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which we have referred to in this prospectus as the “</w:t>
      </w:r>
      <w:r>
        <w:rPr>
          <w:rFonts w:ascii="Arial" w:cs="Arial" w:eastAsia="Arial" w:hAnsi="Arial"/>
          <w:sz w:val="18"/>
          <w:szCs w:val="18"/>
          <w:u w:val="single" w:color="auto"/>
          <w:color w:val="auto"/>
        </w:rPr>
        <w:t>indenture</w:t>
      </w:r>
      <w:r>
        <w:rPr>
          <w:rFonts w:ascii="Arial" w:cs="Arial" w:eastAsia="Arial" w:hAnsi="Arial"/>
          <w:sz w:val="18"/>
          <w:szCs w:val="18"/>
          <w:color w:val="auto"/>
        </w:rPr>
        <w:t>.” The term “</w:t>
      </w:r>
      <w:r>
        <w:rPr>
          <w:rFonts w:ascii="Arial" w:cs="Arial" w:eastAsia="Arial" w:hAnsi="Arial"/>
          <w:sz w:val="18"/>
          <w:szCs w:val="18"/>
          <w:u w:val="single" w:color="auto"/>
          <w:color w:val="auto"/>
        </w:rPr>
        <w:t>notes</w:t>
      </w:r>
      <w:r>
        <w:rPr>
          <w:rFonts w:ascii="Arial" w:cs="Arial" w:eastAsia="Arial" w:hAnsi="Arial"/>
          <w:sz w:val="18"/>
          <w:szCs w:val="18"/>
          <w:color w:val="auto"/>
        </w:rPr>
        <w:t>” refers collectively to the Old Notes and the New Notes.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New Notes will be issued under the indenture and will evidence the same debt as the Old Notes.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terms of the New Notes are identical in all material respects to those of the Old Notes, except that:</w:t>
      </w:r>
    </w:p>
    <w:p>
      <w:pPr>
        <w:spacing w:after="0" w:line="88" w:lineRule="exact"/>
        <w:rPr>
          <w:sz w:val="20"/>
          <w:szCs w:val="20"/>
          <w:color w:val="auto"/>
        </w:rPr>
      </w:pPr>
    </w:p>
    <w:p>
      <w:pPr>
        <w:ind w:left="1800" w:right="5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Notes have been registered with the SEC under the Securities Act and, as a result, will not bear any legend restricting their transfer;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Notes bear different CUSIP numbers from the Old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Notes generally will not be subject to transfer restrictions;</w:t>
      </w:r>
    </w:p>
    <w:p>
      <w:pPr>
        <w:spacing w:after="0" w:line="103"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New Notes will not be entitled to registration rights under the registration rights agreement or otherwise; and</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116"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New Notes will be issued only in fully registered form without interest coupons, in minimum denominations of $1,000 and any integral multiple of $1,000 in excess thereof. Unless otherwise required for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22"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The terms of the New Notes include those stated in the indenture and those made part of the indenture by reference to the Trust Indenture Act of 1939, as amended (the “</w:t>
      </w:r>
      <w:r>
        <w:rPr>
          <w:rFonts w:ascii="Arial" w:cs="Arial" w:eastAsia="Arial" w:hAnsi="Arial"/>
          <w:sz w:val="18"/>
          <w:szCs w:val="18"/>
          <w:u w:val="single" w:color="auto"/>
          <w:color w:val="auto"/>
        </w:rPr>
        <w:t>Trust Indenture Act</w:t>
      </w:r>
      <w:r>
        <w:rPr>
          <w:rFonts w:ascii="Arial" w:cs="Arial" w:eastAsia="Arial" w:hAnsi="Arial"/>
          <w:sz w:val="18"/>
          <w:szCs w:val="18"/>
          <w:color w:val="auto"/>
        </w:rPr>
        <w:t>”).</w:t>
      </w:r>
    </w:p>
    <w:p>
      <w:pPr>
        <w:spacing w:after="0" w:line="90"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exchange offer for the New Notes will be for up to $165,000,000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Maturity and Interest</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notes will mature and become payable, unless earlier redeemed, on April 30, 2026. Interest on the notes will accrue from and including April 30, 2021.</w:t>
      </w:r>
    </w:p>
    <w:p>
      <w:pPr>
        <w:spacing w:after="0" w:line="90" w:lineRule="exact"/>
        <w:rPr>
          <w:sz w:val="20"/>
          <w:szCs w:val="20"/>
          <w:color w:val="auto"/>
        </w:rPr>
      </w:pPr>
    </w:p>
    <w:p>
      <w:pPr>
        <w:ind w:left="1260" w:right="459" w:firstLine="360"/>
        <w:spacing w:after="0" w:line="294" w:lineRule="auto"/>
        <w:rPr>
          <w:sz w:val="20"/>
          <w:szCs w:val="20"/>
          <w:color w:val="auto"/>
        </w:rPr>
      </w:pPr>
      <w:r>
        <w:rPr>
          <w:rFonts w:ascii="Arial" w:cs="Arial" w:eastAsia="Arial" w:hAnsi="Arial"/>
          <w:sz w:val="16"/>
          <w:szCs w:val="16"/>
          <w:color w:val="auto"/>
        </w:rPr>
        <w:t>Interest on the notes will be payable semi-annually in arrears on April 30 and October 30 of each year (each such date,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beginning on October 30, 2021, to the persons in whose names the notes are registered at the close of business on the preceding April 15 and October 15 of each year.</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Interest on the notes at the maturity date will be payable to the persons to whom principal is payable. Interest on the notes will be computed on the basis of a 360-day year comprised of twelve 30-day months. Interest payments on the notes will be the amount of interest accrued from and including April 30, 2021 or the most recent interest payment date on which interest has been paid to, but excluding, the interest payment date, redemption date or the maturity date, as the case may be.</w:t>
      </w:r>
    </w:p>
    <w:p>
      <w:pPr>
        <w:spacing w:after="0" w:line="10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If any interest or other payment date of the notes falls on a day that is not a business day, the required payment of principal, premium, if any, and interest will be made on the next succeeding business day and no interest on such payment will accrue in respect of the delay.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means, when used with respect to the notes, any day other than a Saturday, a Sunday or a day on which banking institutions in New York City are authorized or required by law, regulation or executive order to close.</w:t>
      </w:r>
    </w:p>
    <w:p>
      <w:pPr>
        <w:spacing w:after="0" w:line="10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The initial annual interest rate of 5.00% per annum is subject to adjustment from time to time based on changes to the ratings of the notes by one or more “nationally recognized statistical rating organizations” (each, an “</w:t>
      </w:r>
      <w:r>
        <w:rPr>
          <w:rFonts w:ascii="Arial" w:cs="Arial" w:eastAsia="Arial" w:hAnsi="Arial"/>
          <w:sz w:val="18"/>
          <w:szCs w:val="18"/>
          <w:u w:val="single" w:color="auto"/>
          <w:color w:val="auto"/>
        </w:rPr>
        <w:t>NRSRO</w:t>
      </w:r>
      <w:r>
        <w:rPr>
          <w:rFonts w:ascii="Arial" w:cs="Arial" w:eastAsia="Arial" w:hAnsi="Arial"/>
          <w:sz w:val="18"/>
          <w:szCs w:val="18"/>
          <w:color w:val="auto"/>
        </w:rPr>
        <w:t>”) within the meaning of Section 3(a)(62) of the Securities Exchange Act of 1934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and to the extent permitted by law, interest shall accrue (a) on any overdue payment of interest and (b) during the continuance of an Event of Default (as defined below), on such unpaid balance and on any overdue payment of any premium (whether such premium is due and payable as described under “—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or “— </w:t>
      </w:r>
      <w:r>
        <w:rPr>
          <w:rFonts w:ascii="Arial" w:cs="Arial" w:eastAsia="Arial" w:hAnsi="Arial"/>
          <w:sz w:val="18"/>
          <w:szCs w:val="18"/>
          <w:u w:val="single" w:color="auto"/>
          <w:color w:val="auto"/>
        </w:rPr>
        <w:t>Optional Redemption</w:t>
      </w:r>
      <w:r>
        <w:rPr>
          <w:rFonts w:ascii="Arial" w:cs="Arial" w:eastAsia="Arial" w:hAnsi="Arial"/>
          <w:sz w:val="18"/>
          <w:szCs w:val="18"/>
          <w:color w:val="auto"/>
        </w:rPr>
        <w:t>”), at a rate per annum from time to time equal to the Default Rate (as defined below), payable semi-annually as aforesaid (or, at the option of the holders of record of the notes, on demand).</w:t>
      </w:r>
    </w:p>
    <w:p>
      <w:pPr>
        <w:spacing w:after="0" w:line="129"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The annual interest rate on the notes will increase by 0.25% beginning on the first day of any Six-Month Interest Period (as defined below) if as of such day the notes have a Triple-B Rating (as defined below), and likewise it will increase by 0.50% in excess of the initial rate beginning on the first day of any Six-Month Interest Period if as of such day the notes have either a Non-IG Rating (as defined below) or no rating from any NRSRO. In the event that the annual interest rate on the notes increases due to one or more downgrades, the rate will revert to the initial interest rate beginning on the first day of any Six-Month Interest Period if as of such day the notes have a Single-A Rating (as defined below), and it will revert to</w:t>
      </w:r>
    </w:p>
    <w:p>
      <w:pPr>
        <w:spacing w:after="0" w:line="4" w:lineRule="exact"/>
        <w:rPr>
          <w:sz w:val="20"/>
          <w:szCs w:val="20"/>
          <w:color w:val="auto"/>
        </w:rPr>
      </w:pPr>
    </w:p>
    <w:p>
      <w:pPr>
        <w:ind w:left="1260" w:right="539"/>
        <w:spacing w:after="0" w:line="260" w:lineRule="auto"/>
        <w:rPr>
          <w:sz w:val="20"/>
          <w:szCs w:val="20"/>
          <w:color w:val="auto"/>
        </w:rPr>
      </w:pPr>
      <w:r>
        <w:rPr>
          <w:rFonts w:ascii="Arial" w:cs="Arial" w:eastAsia="Arial" w:hAnsi="Arial"/>
          <w:sz w:val="18"/>
          <w:szCs w:val="18"/>
          <w:color w:val="auto"/>
        </w:rPr>
        <w:t>0.25% over the initial interest rate beginning on the first day of any Six-Month Interest Period if as of such day the notes have been upgraded from a Non-IG Rating to a Triple-B Rating.</w:t>
      </w:r>
    </w:p>
    <w:p>
      <w:pPr>
        <w:spacing w:after="0" w:line="10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We will notify the trustee and DTC in writing within five business days of any change in the ratings of the notes and any resulting change in annual interest rate and the effective dates thereof, and in no event will the trustee be responsible for monitoring such changes. Further, in no circumstances will the annual interest rate exceed the initial rate by more than 0.50% due to changes in ratings of the notes, and in no event will it ever be less than the initial rate.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Set forth below are the definitions of certain terms used in this “— </w:t>
      </w:r>
      <w:r>
        <w:rPr>
          <w:rFonts w:ascii="Arial" w:cs="Arial" w:eastAsia="Arial" w:hAnsi="Arial"/>
          <w:sz w:val="18"/>
          <w:szCs w:val="18"/>
          <w:u w:val="single" w:color="auto"/>
          <w:color w:val="auto"/>
        </w:rPr>
        <w:t>Interest</w:t>
      </w:r>
      <w:r>
        <w:rPr>
          <w:rFonts w:ascii="Arial" w:cs="Arial" w:eastAsia="Arial" w:hAnsi="Arial"/>
          <w:sz w:val="18"/>
          <w:szCs w:val="18"/>
          <w:color w:val="auto"/>
        </w:rPr>
        <w:t>” section.</w:t>
      </w:r>
    </w:p>
    <w:p>
      <w:pPr>
        <w:spacing w:after="0" w:line="15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Six-Month Interest Period</w:t>
      </w:r>
      <w:r>
        <w:rPr>
          <w:rFonts w:ascii="Arial" w:cs="Arial" w:eastAsia="Arial" w:hAnsi="Arial"/>
          <w:sz w:val="18"/>
          <w:szCs w:val="18"/>
          <w:color w:val="auto"/>
        </w:rPr>
        <w:t>” means the period beginning on each interest payment date for the notes and ending on the day immediately preceding the commencement of the next following interest payment date for the notes. The initial Six-Month Interest Period will begin on the first interest payment date for the notes.</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Triple-B Rating</w:t>
      </w:r>
      <w:r>
        <w:rPr>
          <w:rFonts w:ascii="Arial" w:cs="Arial" w:eastAsia="Arial" w:hAnsi="Arial"/>
          <w:sz w:val="18"/>
          <w:szCs w:val="18"/>
          <w:color w:val="auto"/>
        </w:rPr>
        <w:t>” will occur if as of the last day of the then current Six-Month Interest Period:</w:t>
      </w:r>
    </w:p>
    <w:p>
      <w:pPr>
        <w:spacing w:after="0" w:line="117" w:lineRule="exact"/>
        <w:rPr>
          <w:sz w:val="20"/>
          <w:szCs w:val="20"/>
          <w:color w:val="auto"/>
        </w:rPr>
      </w:pPr>
    </w:p>
    <w:p>
      <w:pPr>
        <w:ind w:left="1800" w:right="5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assuming the notes are rated by only one NRSRO, the then most recent rating from such NRSRO is no lower than a BBB — and no higher than a BBB+;</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assuming the notes are rated by only two NRSROs, the then lower of the most recent ratings from such NRSROs is no lower than a BBB — and no higher than a BBB+; or</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assuming the notes are rated by three or more NRSROs, the then second lowest of the most recent ratings from such NRSROs is no lower than a BBB — and no higher than a BBB+.</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Non-IG Rating</w:t>
      </w:r>
      <w:r>
        <w:rPr>
          <w:rFonts w:ascii="Arial" w:cs="Arial" w:eastAsia="Arial" w:hAnsi="Arial"/>
          <w:sz w:val="18"/>
          <w:szCs w:val="18"/>
          <w:color w:val="auto"/>
        </w:rPr>
        <w:t>” will occur if as of the last day of the then current Six-Month Interest Period:</w:t>
      </w:r>
    </w:p>
    <w:p>
      <w:pPr>
        <w:spacing w:after="0" w:line="117" w:lineRule="exact"/>
        <w:rPr>
          <w:sz w:val="20"/>
          <w:szCs w:val="20"/>
          <w:color w:val="auto"/>
        </w:rPr>
      </w:pPr>
    </w:p>
    <w:p>
      <w:pPr>
        <w:ind w:left="1800" w:right="43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assuming the notes are rated by only one NRSRO, the then most recent rating from such NRSRO is a BB+ or lower;</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9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assuming the notes are rated by only two NRSROs, the then lower of the most recent ratings from such NRSROs is a BB+ or lower; or</w:t>
      </w:r>
    </w:p>
    <w:p>
      <w:pPr>
        <w:spacing w:after="0" w:line="48"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assuming the notes are rated by three or more NRSROs, the then second lowest of the most recent ratings from such NRSROs is a BB+ or lower.</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Single-A Rating</w:t>
      </w:r>
      <w:r>
        <w:rPr>
          <w:rFonts w:ascii="Arial" w:cs="Arial" w:eastAsia="Arial" w:hAnsi="Arial"/>
          <w:sz w:val="18"/>
          <w:szCs w:val="18"/>
          <w:color w:val="auto"/>
        </w:rPr>
        <w:t>” will occur if as of the last day of the then current Six-Month Interest Period:</w:t>
      </w:r>
    </w:p>
    <w:p>
      <w:pPr>
        <w:spacing w:after="0" w:line="117" w:lineRule="exact"/>
        <w:rPr>
          <w:sz w:val="20"/>
          <w:szCs w:val="20"/>
          <w:color w:val="auto"/>
        </w:rPr>
      </w:pPr>
    </w:p>
    <w:p>
      <w:pPr>
        <w:ind w:left="1800" w:right="5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assuming the notes are rated by only one NRSRO, the then most recent rating from such NRSRO is at least an A–;</w:t>
      </w:r>
    </w:p>
    <w:p>
      <w:pPr>
        <w:spacing w:after="0" w:line="48"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assuming the notes are rated by only two NRSROs, the then lower of the most recent ratings from such NRSROs is at least an A–; or</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assuming the notes are rated by three or more NRSROs, the then second lowest of the most recent ratings from such NRSROs is at least an A–.</w:t>
      </w:r>
    </w:p>
    <w:p>
      <w:pPr>
        <w:spacing w:after="0" w:line="103"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ratings categories referred to in the preceding definitions are those used by Egan-Jones Ratings Company but are deemed to refer also to the equivalent ratings of any other NRSRO.</w:t>
      </w:r>
    </w:p>
    <w:p>
      <w:pPr>
        <w:spacing w:after="0" w:line="103"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The indenture provides that we must maintain a rating of the notes by at least one NRSRO at all times while the notes are outstanding.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Payment and Transfer or Exchange</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Principal of and premium, if any, and interest on the notes will be payable, and the notes may be exchanged or transferred, at the office or agency designated by us for such purpose. We have initially designated the trustee as our paying agent and registrar and its agency in Houston, TX as a place where notes may be presented for payment and its agency in Kansas City, MO for registration of transfer or exchange.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is no longer represented by a global note, payment of interest on certificated notes in definitive form may, at our option, be made by check mailed directly to holders at their registered addresses. See “</w:t>
      </w:r>
      <w:r>
        <w:rPr>
          <w:rFonts w:ascii="Arial" w:cs="Arial" w:eastAsia="Arial" w:hAnsi="Arial"/>
          <w:sz w:val="17"/>
          <w:szCs w:val="17"/>
          <w:u w:val="single" w:color="auto"/>
          <w:color w:val="auto"/>
        </w:rPr>
        <w:t>Book-Entry, Delivery and Form</w:t>
      </w:r>
      <w:r>
        <w:rPr>
          <w:rFonts w:ascii="Arial" w:cs="Arial" w:eastAsia="Arial" w:hAnsi="Arial"/>
          <w:sz w:val="17"/>
          <w:szCs w:val="17"/>
          <w:color w:val="auto"/>
        </w:rPr>
        <w:t>.”</w:t>
      </w:r>
    </w:p>
    <w:p>
      <w:pPr>
        <w:spacing w:after="0" w:line="116" w:lineRule="exact"/>
        <w:rPr>
          <w:sz w:val="20"/>
          <w:szCs w:val="20"/>
          <w:color w:val="auto"/>
        </w:rPr>
      </w:pPr>
    </w:p>
    <w:p>
      <w:pPr>
        <w:ind w:left="1260" w:right="559" w:firstLine="360"/>
        <w:spacing w:after="0"/>
        <w:rPr>
          <w:sz w:val="20"/>
          <w:szCs w:val="20"/>
          <w:color w:val="auto"/>
        </w:rPr>
      </w:pPr>
      <w:r>
        <w:rPr>
          <w:rFonts w:ascii="Arial" w:cs="Arial" w:eastAsia="Arial" w:hAnsi="Arial"/>
          <w:sz w:val="18"/>
          <w:szCs w:val="18"/>
          <w:color w:val="auto"/>
        </w:rPr>
        <w:t>A holder may transfer or exchange any certificated notes in definitive form at the same location given in the preceding paragraph. No service charge will be made for any registration of transfer or exchange of notes, but we may require payment of a sum sufficient to cover any transfer tax or other similar governmental charge payable in connection therewith. We will not be required to transfer or exchange any note selected for redemption for a period of 15 days before providing a notice of redemption of notes to be redeemed.</w:t>
      </w:r>
    </w:p>
    <w:p>
      <w:pPr>
        <w:spacing w:after="0" w:line="10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The registered holder of a note will be treated as the owner of it for all purposes. Only registered holders will have rights under the indenture, and unless otherwise indicated all references to “</w:t>
      </w:r>
      <w:r>
        <w:rPr>
          <w:rFonts w:ascii="Arial" w:cs="Arial" w:eastAsia="Arial" w:hAnsi="Arial"/>
          <w:sz w:val="17"/>
          <w:szCs w:val="17"/>
          <w:u w:val="single" w:color="auto"/>
          <w:color w:val="auto"/>
        </w:rPr>
        <w:t>holders</w:t>
      </w:r>
      <w:r>
        <w:rPr>
          <w:rFonts w:ascii="Arial" w:cs="Arial" w:eastAsia="Arial" w:hAnsi="Arial"/>
          <w:sz w:val="17"/>
          <w:szCs w:val="17"/>
          <w:color w:val="auto"/>
        </w:rPr>
        <w:t>” in this “</w:t>
      </w:r>
      <w:r>
        <w:rPr>
          <w:rFonts w:ascii="Arial" w:cs="Arial" w:eastAsia="Arial" w:hAnsi="Arial"/>
          <w:sz w:val="17"/>
          <w:szCs w:val="17"/>
          <w:u w:val="single" w:color="auto"/>
          <w:color w:val="auto"/>
        </w:rPr>
        <w:t>Description of the Notes</w:t>
      </w:r>
      <w:r>
        <w:rPr>
          <w:rFonts w:ascii="Arial" w:cs="Arial" w:eastAsia="Arial" w:hAnsi="Arial"/>
          <w:sz w:val="17"/>
          <w:szCs w:val="17"/>
          <w:color w:val="auto"/>
        </w:rPr>
        <w:t>” section are to registered holders of the notes.</w:t>
      </w:r>
    </w:p>
    <w:p>
      <w:pPr>
        <w:spacing w:after="0" w:line="96" w:lineRule="exact"/>
        <w:rPr>
          <w:sz w:val="20"/>
          <w:szCs w:val="20"/>
          <w:color w:val="auto"/>
        </w:rPr>
      </w:pPr>
    </w:p>
    <w:p>
      <w:pPr>
        <w:ind w:left="1260" w:right="819" w:firstLine="360"/>
        <w:spacing w:after="0" w:line="270" w:lineRule="auto"/>
        <w:rPr>
          <w:sz w:val="20"/>
          <w:szCs w:val="20"/>
          <w:color w:val="auto"/>
        </w:rPr>
      </w:pPr>
      <w:r>
        <w:rPr>
          <w:rFonts w:ascii="Arial" w:cs="Arial" w:eastAsia="Arial" w:hAnsi="Arial"/>
          <w:sz w:val="17"/>
          <w:szCs w:val="17"/>
          <w:color w:val="auto"/>
        </w:rPr>
        <w:t>All amounts of principal of and premium, if any, or interest on the notes paid by us that remain unclaimed two years after such payment was due and payable will be repaid to us, subject to applicable abandoned property law, and the holders of such notes will thereafter look solely to us for payment.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The notes will be our senior unsecured obligations and rank equally in right of payment with all of our other senior unsecured indebtedness from time to time outstanding. The notes will rank senior in right of payment to any of our indebtedness that is expressly subordinated in right of payment to the notes. The notes will be effectively subordinated to our secured indebtedness, to the extent of the value of the collateral securing such indebtedness. In the event of our bankruptcy, liquidation, reorganization or other winding up, our assets that secure our secured debt will be available to pay obligations on the notes only after all indebtedness under such secured indebtedness has been repaid in full from such assets.</w:t>
      </w:r>
    </w:p>
    <w:p>
      <w:pPr>
        <w:spacing w:after="0" w:line="99"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In addition, because the notes will not be guaranteed by any of our Subsidiaries at issuance, the notes will be structurally subordinated to the existing and future indebtedness and other liabilities (including trade</w:t>
      </w:r>
    </w:p>
    <w:p>
      <w:pPr>
        <w:sectPr>
          <w:pgSz w:w="11900" w:h="16838" w:orient="portrait"/>
          <w:cols w:equalWidth="0" w:num="1">
            <w:col w:w="9879"/>
          </w:cols>
          <w:pgMar w:left="58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 xml:space="preserve">payables) and preferred equity of our Subsidiaries, including any of our future indebtedness and other liabilities that are guaranteed by our Subsidiaries, unless any of our Subsidiaries are required to guarantee the notes in the future, under the circumstances set forth in the covenant described below in “— </w:t>
      </w:r>
      <w:r>
        <w:rPr>
          <w:rFonts w:ascii="Arial" w:cs="Arial" w:eastAsia="Arial" w:hAnsi="Arial"/>
          <w:sz w:val="18"/>
          <w:szCs w:val="18"/>
          <w:u w:val="single" w:color="auto"/>
          <w:color w:val="auto"/>
        </w:rPr>
        <w:t>Possible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Future Guarantees</w:t>
      </w:r>
      <w:r>
        <w:rPr>
          <w:rFonts w:ascii="Arial" w:cs="Arial" w:eastAsia="Arial" w:hAnsi="Arial"/>
          <w:sz w:val="18"/>
          <w:szCs w:val="18"/>
          <w:color w:val="auto"/>
        </w:rPr>
        <w:t>.” In the event that any of our Subsidiaries becomes a guarantor of the notes, its guarantee of the notes will be a senior unsecured obligation of such guarantor, rank equally in right of payment with all existing and future senior unsecured indebtedness and senior unsecured guarantees of such guarantor, effectively subordinated in right of payment to all existing and future secured indebtedness and secured guarantees of such guarantor to the extent of the value of the collateral securing such indebtedness and guarantees, and senior in right of payment to any future subordinated indebtedness and subordinated guarantees of such guarantor.</w:t>
      </w:r>
    </w:p>
    <w:p>
      <w:pPr>
        <w:spacing w:after="0" w:line="11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In any liquidation, dissolution, bankruptcy or other similar proceeding involving one of our non-guarantor Subsidiaries, any right we or any holders of the notes have to participate in the assets of the Subsidiary will effectively be subordinated to the claims of creditors of the Subsidiary, and following payment by the Subsidiary of its liabilities, the Subsidiary may not have sufficient assets remaining to make payments to us as a stockholder or otherwise. See “</w:t>
      </w:r>
      <w:r>
        <w:rPr>
          <w:rFonts w:ascii="Arial" w:cs="Arial" w:eastAsia="Arial" w:hAnsi="Arial"/>
          <w:sz w:val="18"/>
          <w:szCs w:val="18"/>
          <w:u w:val="single" w:color="auto"/>
          <w:color w:val="auto"/>
        </w:rPr>
        <w:t>Risk Factors — Risks Related to the New Notes —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New Notes will be structurally subordinated to all of the indebtedness of our subsidiaries that do not guarantee the New Notes and the New Notes will be effectively junior to all of our future secured indebtedness</w:t>
      </w:r>
      <w:r>
        <w:rPr>
          <w:rFonts w:ascii="Arial" w:cs="Arial" w:eastAsia="Arial" w:hAnsi="Arial"/>
          <w:sz w:val="18"/>
          <w:szCs w:val="18"/>
          <w:color w:val="auto"/>
        </w:rPr>
        <w:t>” in this prospectus.</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As of June 30, 2021, the principal amount of our total consolidated indebtedness was approximately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$6.75 billion, of which an aggregate of $6.61 billion was senior indebtedness and an aggregate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$5.50 billion was secured indebtedness. As of June 30, 2021, our Subsidiaries had $5.86 billion principal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amount of indebtedness and other liabilities (including trade payables) to which the notes would have been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structurally subordinated.</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We may redeem the notes at our option, in whole or in part, at any time or from time to time prior to January 30, 2026 (the date that is three months prior to the scheduled maturity date of the notes and which we refer to as the “</w:t>
      </w:r>
      <w:r>
        <w:rPr>
          <w:rFonts w:ascii="Arial" w:cs="Arial" w:eastAsia="Arial" w:hAnsi="Arial"/>
          <w:sz w:val="17"/>
          <w:szCs w:val="17"/>
          <w:u w:val="single" w:color="auto"/>
          <w:color w:val="auto"/>
        </w:rPr>
        <w:t>Par Call Date</w:t>
      </w:r>
      <w:r>
        <w:rPr>
          <w:rFonts w:ascii="Arial" w:cs="Arial" w:eastAsia="Arial" w:hAnsi="Arial"/>
          <w:sz w:val="17"/>
          <w:szCs w:val="17"/>
          <w:color w:val="auto"/>
        </w:rPr>
        <w:t>”), at a redemption price equal to the greater of the following amounts, plus, in each case, accrued and unpaid interest thereon to, but excluding, the redemption date:</w:t>
      </w:r>
    </w:p>
    <w:p>
      <w:pPr>
        <w:spacing w:after="0" w:line="63"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of the aggregate principal amount of the notes to be redeemed; or</w:t>
      </w:r>
    </w:p>
    <w:p>
      <w:pPr>
        <w:spacing w:after="0" w:line="117" w:lineRule="exact"/>
        <w:rPr>
          <w:rFonts w:ascii="Arial" w:cs="Arial" w:eastAsia="Arial" w:hAnsi="Arial"/>
          <w:sz w:val="18"/>
          <w:szCs w:val="18"/>
          <w:color w:val="auto"/>
        </w:rPr>
      </w:pPr>
    </w:p>
    <w:p>
      <w:pPr>
        <w:jc w:val="both"/>
        <w:ind w:left="1800" w:right="59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sum of the present values, determined as provided below, of the remaining scheduled payments of principal and interest on the notes to be redeemed that would have been due if the notes matured on the Par Call Date.</w:t>
      </w:r>
    </w:p>
    <w:p>
      <w:pPr>
        <w:spacing w:after="0" w:line="116"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In determining the present values of the remaining scheduled payments, we will discount such payments to the redemption date on a semi-annual basis (assuming a 360-day year consisting of twelve 30-day months) using a discount rate equal to the Treasury Rate plus 50 basis points. Notwithstanding the foregoing, installments of interest on notes that are due and payable on interest payment dates falling on or prior to the relevant redemption date will be payable to the holders of such notes registered as such at the close of business on the relevant record date according to their terms and the provisions of the indenture.</w:t>
      </w:r>
    </w:p>
    <w:p>
      <w:pPr>
        <w:spacing w:after="0" w:line="97" w:lineRule="exact"/>
        <w:rPr>
          <w:sz w:val="20"/>
          <w:szCs w:val="20"/>
          <w:color w:val="auto"/>
        </w:rPr>
      </w:pPr>
    </w:p>
    <w:p>
      <w:pPr>
        <w:jc w:val="both"/>
        <w:ind w:left="1260" w:right="459" w:firstLine="360"/>
        <w:spacing w:after="0" w:line="286" w:lineRule="auto"/>
        <w:rPr>
          <w:sz w:val="20"/>
          <w:szCs w:val="20"/>
          <w:color w:val="auto"/>
        </w:rPr>
      </w:pPr>
      <w:r>
        <w:rPr>
          <w:rFonts w:ascii="Arial" w:cs="Arial" w:eastAsia="Arial" w:hAnsi="Arial"/>
          <w:sz w:val="17"/>
          <w:szCs w:val="17"/>
          <w:color w:val="auto"/>
        </w:rPr>
        <w:t>We may redeem the notes at our option, in whole or in part, at any time or from time to time on or after the Par Call Date, at a redemption price equal to 100% of the aggregate principal amount of the notes to be redeemed, plus accrued and unpaid interest thereon to, but excluding, the redemption date.</w:t>
      </w:r>
    </w:p>
    <w:p>
      <w:pPr>
        <w:spacing w:after="0" w:line="98"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Treasury Issue</w:t>
      </w:r>
      <w:r>
        <w:rPr>
          <w:rFonts w:ascii="Arial" w:cs="Arial" w:eastAsia="Arial" w:hAnsi="Arial"/>
          <w:sz w:val="17"/>
          <w:szCs w:val="17"/>
          <w:color w:val="auto"/>
        </w:rPr>
        <w:t>” means the United States Treasury security selected by the Independent Investment Banker as having an actual or interpolated maturity comparable to the remaining term of the notes to be redeemed, determined as if the notes matured on the Par Call Date (the “</w:t>
      </w:r>
      <w:r>
        <w:rPr>
          <w:rFonts w:ascii="Arial" w:cs="Arial" w:eastAsia="Arial" w:hAnsi="Arial"/>
          <w:sz w:val="17"/>
          <w:szCs w:val="17"/>
          <w:u w:val="single" w:color="auto"/>
          <w:color w:val="auto"/>
        </w:rPr>
        <w:t>Remaining Life</w:t>
      </w:r>
      <w:r>
        <w:rPr>
          <w:rFonts w:ascii="Arial" w:cs="Arial" w:eastAsia="Arial" w:hAnsi="Arial"/>
          <w:sz w:val="17"/>
          <w:szCs w:val="17"/>
          <w:color w:val="auto"/>
        </w:rPr>
        <w:t>”), that would be utilized, at the time of selection and in accordance with customary financial practice, in pricing new issues of corporate debt securities of comparable maturity to the Remaining Life of the notes.</w:t>
      </w:r>
    </w:p>
    <w:p>
      <w:pPr>
        <w:spacing w:after="0" w:line="109"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with respect to any redemption date for the notes, (i) the arithmetic average of five Reference Treasury Dealer Quotations for such redemption date, after excluding the highest</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91" w:lineRule="auto"/>
        <w:rPr>
          <w:sz w:val="20"/>
          <w:szCs w:val="20"/>
          <w:color w:val="auto"/>
        </w:rPr>
      </w:pPr>
      <w:r>
        <w:rPr>
          <w:rFonts w:ascii="Arial" w:cs="Arial" w:eastAsia="Arial" w:hAnsi="Arial"/>
          <w:sz w:val="17"/>
          <w:szCs w:val="17"/>
          <w:color w:val="auto"/>
        </w:rPr>
        <w:t>and lowest such Reference Treasury Dealer Quotations, or (ii) if we obtain fewer than five such Reference Treasury Dealer Quotations, the arithmetic average of all such quotations for such redemption date.</w:t>
      </w:r>
    </w:p>
    <w:p>
      <w:pPr>
        <w:spacing w:after="0" w:line="66" w:lineRule="exact"/>
        <w:rPr>
          <w:sz w:val="20"/>
          <w:szCs w:val="20"/>
          <w:color w:val="auto"/>
        </w:rPr>
      </w:pPr>
    </w:p>
    <w:p>
      <w:pPr>
        <w:jc w:val="both"/>
        <w:ind w:left="1260" w:right="499" w:firstLine="360"/>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Investment Banker</w:t>
      </w:r>
      <w:r>
        <w:rPr>
          <w:rFonts w:ascii="Arial" w:cs="Arial" w:eastAsia="Arial" w:hAnsi="Arial"/>
          <w:sz w:val="18"/>
          <w:szCs w:val="18"/>
          <w:color w:val="auto"/>
        </w:rPr>
        <w:t>” means, with respect to any redemption date for the notes, one of the Reference Treasury Dealers selected by us or, if such firms or any such successors, as the case may be, are unwilling or unable to select the Comparable Treasury Issue, an independent investment banking institution of national standing selected by us.</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Primary Treasury Dealer</w:t>
      </w:r>
      <w:r>
        <w:rPr>
          <w:rFonts w:ascii="Arial" w:cs="Arial" w:eastAsia="Arial" w:hAnsi="Arial"/>
          <w:sz w:val="17"/>
          <w:szCs w:val="17"/>
          <w:color w:val="auto"/>
        </w:rPr>
        <w:t>” means a primary U.S. government securities dealer in the United States.</w:t>
      </w:r>
    </w:p>
    <w:p>
      <w:pPr>
        <w:spacing w:after="0" w:line="169"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 Quotations</w:t>
      </w:r>
      <w:r>
        <w:rPr>
          <w:rFonts w:ascii="Arial" w:cs="Arial" w:eastAsia="Arial" w:hAnsi="Arial"/>
          <w:sz w:val="18"/>
          <w:szCs w:val="18"/>
          <w:color w:val="auto"/>
        </w:rPr>
        <w:t xml:space="preserve"> ” means, with respect to each Reference Treasury Dealer and any redemption date, the arithmetic average of the bid and asked prices for the Comparable Treasury Issue (expressed in each case as a percentage of its principal amount) quoted in writing to us (and provided to the trustee) by such Reference Treasury Dealer at 5:00 p.m., New York City time, on the third business day preceding such redemption date.</w:t>
      </w:r>
    </w:p>
    <w:p>
      <w:pPr>
        <w:spacing w:after="0" w:line="108"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Treasury Dealers</w:t>
      </w:r>
      <w:r>
        <w:rPr>
          <w:rFonts w:ascii="Arial" w:cs="Arial" w:eastAsia="Arial" w:hAnsi="Arial"/>
          <w:sz w:val="17"/>
          <w:szCs w:val="17"/>
          <w:color w:val="auto"/>
        </w:rPr>
        <w:t>” means, with respect to any redemption date for the notes, five Primary Treasury Dealers selected by us; provided, however, that if any of the foregoing ceases to be a Primary Treasury Dealer, we shall substitute therefor another Primary Treasury Dealer selected by us.</w:t>
      </w:r>
    </w:p>
    <w:p>
      <w:pPr>
        <w:spacing w:after="0" w:line="9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Rate</w:t>
      </w:r>
      <w:r>
        <w:rPr>
          <w:rFonts w:ascii="Arial" w:cs="Arial" w:eastAsia="Arial" w:hAnsi="Arial"/>
          <w:sz w:val="17"/>
          <w:szCs w:val="17"/>
          <w:color w:val="auto"/>
        </w:rPr>
        <w:t>” means, with respect to any redemption date for the notes, (1) the yield, under the heading which represents the average for the immediately preceding week, appearing in the most recently published statistical release designated “H.15 (519)” or any successor publication which is published weekly by the Federal Reserve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Par Call Date, yields for the two published maturities most closely corresponding to the Comparable Treasury Issue will be determined and the Treasury Rate will be interpolated or extrapolated from those yields on a straight line basis, rounding to the nearest month) or (2) if the release referred to in clause (1) (or any successor release) is not published during the week preceding the calculation date or does not contain the yields referred to above, the rate per annum equal to the semi-annual equivalent yield to maturity of the Comparable Treasury Issue, calculated using a price for the Comparable Treasury Issue (expressed as</w:t>
      </w:r>
    </w:p>
    <w:p>
      <w:pPr>
        <w:spacing w:after="0" w:line="3"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a percentage of its principal amount) equal to the Comparable Treasury Price for such redemption date. We shall calculate the Treasury Rate on the third business day preceding the redemption date.</w:t>
      </w:r>
    </w:p>
    <w:p>
      <w:pPr>
        <w:spacing w:after="0" w:line="11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Notice of any redemption will be sent at least 10 days but not more than 60 days before the redemption date to (w) each holder of notes to be redeemed at such holder’s registered address, (x) to the trustee, (y) to the security registrar to forward to each holder of notes to be redeemed at such holder’s registered address, or (z) otherwise in accordance with the procedures of DTC. If less than all the notes are to be redeemed at any time, the notes to be redeemed will be selected by DTC in accordance with DTC’s standard procedures, as a pro rata pass-through distribution of principal. If the notes to be redeemed are certificated notes, the trustee will select, in such manner as it deems fair and appropriate, the notes (or portions thereof) to be redeemed. The trustee shall have no duty to calculate or verify the calculation of the redemption price.</w:t>
      </w:r>
    </w:p>
    <w:p>
      <w:pPr>
        <w:spacing w:after="0" w:line="100" w:lineRule="exact"/>
        <w:rPr>
          <w:sz w:val="20"/>
          <w:szCs w:val="20"/>
          <w:color w:val="auto"/>
        </w:rPr>
      </w:pPr>
    </w:p>
    <w:p>
      <w:pPr>
        <w:ind w:left="1260" w:right="719" w:firstLine="360"/>
        <w:spacing w:after="0" w:line="291" w:lineRule="auto"/>
        <w:rPr>
          <w:sz w:val="20"/>
          <w:szCs w:val="20"/>
          <w:color w:val="auto"/>
        </w:rPr>
      </w:pPr>
      <w:r>
        <w:rPr>
          <w:rFonts w:ascii="Arial" w:cs="Arial" w:eastAsia="Arial" w:hAnsi="Arial"/>
          <w:sz w:val="17"/>
          <w:szCs w:val="17"/>
          <w:color w:val="auto"/>
        </w:rPr>
        <w:t>Unless we default in payment of the redemption price, on and after the redemption date interest will cease to accrue on the notes or portions thereof called for redemption on such redemption date.</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 of Control Offer</w:t>
      </w:r>
    </w:p>
    <w:p>
      <w:pPr>
        <w:spacing w:after="0" w:line="162"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 xml:space="preserve">Upon the occurrence of a Change of Control Triggering Event (as defined below), each holder of notes will have the right to require us to purchase all or any part (equal to $1,000 or an integral multiple of $1,000 in excess thereof) of the holder’s notes at a purchase price in cash equal to 101% of the principal amount thereof, plus accrued and unpaid interest, if any, up to, but excluding, the date of purchase (subject to the right of holders of record on the relevant record date to receive interest due on the relevant interest payment date), except to the extent that we have exercised our right to redeem the notes as described under “—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For purposes of this covenant, “</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one of the following:</w:t>
      </w:r>
    </w:p>
    <w:p>
      <w:pPr>
        <w:spacing w:after="0" w:line="142" w:lineRule="exact"/>
        <w:rPr>
          <w:sz w:val="20"/>
          <w:szCs w:val="20"/>
          <w:color w:val="auto"/>
        </w:rPr>
      </w:pPr>
    </w:p>
    <w:p>
      <w:pPr>
        <w:ind w:left="1980" w:hanging="360"/>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sale, assignment, lease, transfer or other conveyance (other than by way of merger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24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99"/>
        <w:spacing w:after="0" w:line="257" w:lineRule="auto"/>
        <w:rPr>
          <w:sz w:val="20"/>
          <w:szCs w:val="20"/>
          <w:color w:val="auto"/>
        </w:rPr>
      </w:pPr>
      <w:r>
        <w:rPr>
          <w:rFonts w:ascii="Arial" w:cs="Arial" w:eastAsia="Arial" w:hAnsi="Arial"/>
          <w:sz w:val="18"/>
          <w:szCs w:val="18"/>
          <w:color w:val="auto"/>
        </w:rPr>
        <w:t>consolidation), in one or a series of related transactions, of all or substantially all of the properties and assets of us and our Subsidiaries taken as a whole to any “person” (as that term is used in Section 13(d)(3) of the Exchange Act) other than to us or one or more of our Subsidiaries or a combination thereof or a Person controlled by us or one or more of our Subsidiaries or a combination thereof; or</w:t>
      </w:r>
    </w:p>
    <w:p>
      <w:pPr>
        <w:spacing w:after="0" w:line="120" w:lineRule="exact"/>
        <w:rPr>
          <w:sz w:val="20"/>
          <w:szCs w:val="20"/>
          <w:color w:val="auto"/>
        </w:rPr>
      </w:pPr>
    </w:p>
    <w:p>
      <w:pPr>
        <w:ind w:left="1980" w:right="479" w:hanging="360"/>
        <w:spacing w:after="0" w:line="255" w:lineRule="auto"/>
        <w:tabs>
          <w:tab w:leader="none" w:pos="1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that term is used in Section 13(d)(3) of the Exchange Act) (other than any Subsidiary of ours) becomes the “beneficial owner” (as defined in Rules 13d-3 and 13d-5 under the Exchange Act), directly or indirectly, of more than 50% of our outstanding Voting Stock (as defined below), measured by voting power rather than number of shares or the like.</w:t>
      </w:r>
    </w:p>
    <w:p>
      <w:pPr>
        <w:spacing w:after="0" w:line="111"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Notwithstanding the foregoing, a transaction will not be deemed to involve a “</w:t>
      </w:r>
      <w:r>
        <w:rPr>
          <w:rFonts w:ascii="Arial" w:cs="Arial" w:eastAsia="Arial" w:hAnsi="Arial"/>
          <w:sz w:val="18"/>
          <w:szCs w:val="18"/>
          <w:u w:val="single" w:color="auto"/>
          <w:color w:val="auto"/>
        </w:rPr>
        <w:t>Change of Control</w:t>
      </w:r>
      <w:r>
        <w:rPr>
          <w:rFonts w:ascii="Arial" w:cs="Arial" w:eastAsia="Arial" w:hAnsi="Arial"/>
          <w:sz w:val="18"/>
          <w:szCs w:val="18"/>
          <w:color w:val="auto"/>
        </w:rPr>
        <w:t>” under clause (b) above if (i) we become a direct or indirect wholly owned Subsidiary of a holding company and (ii)(A) the direct or indirect holders of the Voting Stock of such holding company immediately following such transaction are substantially the same as the holders of our Voting Stock immediately prior to such transaction or (B) immediately following such transaction no “person” (as that term is used in Section 13(d)(3) of the Exchange Act) (other than a holding company satisfying the requirements of this sentence) is the “beneficial owner” (as defined in Rules 13d-3 and 13d-5 under the Exchange Act), directly or indirectly, of more than 50% of the outstanding Voting Stock of such holding company, measured by voting power rather than number of shares or the like.</w:t>
      </w:r>
    </w:p>
    <w:p>
      <w:pPr>
        <w:spacing w:after="0" w:line="129"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Triggering Event</w:t>
      </w:r>
      <w:r>
        <w:rPr>
          <w:rFonts w:ascii="Arial" w:cs="Arial" w:eastAsia="Arial" w:hAnsi="Arial"/>
          <w:sz w:val="18"/>
          <w:szCs w:val="18"/>
          <w:color w:val="auto"/>
        </w:rPr>
        <w:t>” means the notes fail to have at least a Triple-B Rating on any date during the period commencing on the date of the first public announcement by us of any Change of Control (or pending Change of Control) and ending 60 days following consummation of such Change of Control (which 60-day period will be extended for so long as the rating of the notes is under publicly announced consideration for a possible downgrade as a result of the Change of Control by any of the NRSROs). Notwithstanding the foregoing, no Change of Control Triggering Event will be deemed to have occurred in connection with any particular Change of Control unless and until such Change of Control has actually been consummated.</w:t>
      </w:r>
    </w:p>
    <w:p>
      <w:pPr>
        <w:spacing w:after="0" w:line="12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 xml:space="preserve">Within 10 business days following the date upon which the Change of Control Triggering Event has occurred, or, at our option, prior to any Change of Control but after the public announcement of the transaction that constitutes or may constitute the Change of Control, except to the extent that we have exercised our right to redeem the notes as described under “— </w:t>
      </w:r>
      <w:r>
        <w:rPr>
          <w:rFonts w:ascii="Arial" w:cs="Arial" w:eastAsia="Arial" w:hAnsi="Arial"/>
          <w:sz w:val="18"/>
          <w:szCs w:val="18"/>
          <w:u w:val="single" w:color="auto"/>
          <w:color w:val="auto"/>
        </w:rPr>
        <w:t>Optional Redemption</w:t>
      </w:r>
      <w:r>
        <w:rPr>
          <w:rFonts w:ascii="Arial" w:cs="Arial" w:eastAsia="Arial" w:hAnsi="Arial"/>
          <w:sz w:val="18"/>
          <w:szCs w:val="18"/>
          <w:color w:val="auto"/>
        </w:rPr>
        <w:t>,” we will send a notice (a “</w:t>
      </w:r>
      <w:r>
        <w:rPr>
          <w:rFonts w:ascii="Arial" w:cs="Arial" w:eastAsia="Arial" w:hAnsi="Arial"/>
          <w:sz w:val="18"/>
          <w:szCs w:val="18"/>
          <w:u w:val="single" w:color="auto"/>
          <w:color w:val="auto"/>
        </w:rPr>
        <w:t>Change of Control Offer</w:t>
      </w:r>
      <w:r>
        <w:rPr>
          <w:rFonts w:ascii="Arial" w:cs="Arial" w:eastAsia="Arial" w:hAnsi="Arial"/>
          <w:sz w:val="18"/>
          <w:szCs w:val="18"/>
          <w:color w:val="auto"/>
        </w:rPr>
        <w:t>”) to each holder of notes with a copy to the trustee, which notice will govern the terms of the Change of Control Offer, stating:</w:t>
      </w:r>
    </w:p>
    <w:p>
      <w:pPr>
        <w:spacing w:after="0" w:line="84" w:lineRule="exact"/>
        <w:rPr>
          <w:sz w:val="20"/>
          <w:szCs w:val="20"/>
          <w:color w:val="auto"/>
        </w:rPr>
      </w:pPr>
    </w:p>
    <w:p>
      <w:pPr>
        <w:ind w:left="1800" w:right="419" w:hanging="180"/>
        <w:spacing w:after="0" w:line="25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a Change of Control Triggering Event has occurred or may occur and that such holder has or may have the right to require us to purchase all or a portion of such holder’s notes at a purchase price in cash equal to 101% of the principal amount thereof, plus accrued and unpaid interest, if any, up to, but excluding, the date of purchase (subject to the right of holders of record on the relevant record date to receive interest on the relevant interest payment date);</w:t>
      </w:r>
    </w:p>
    <w:p>
      <w:pPr>
        <w:spacing w:after="0" w:line="79"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circumstances regarding such Change of Control Triggering Event;</w:t>
      </w:r>
    </w:p>
    <w:p>
      <w:pPr>
        <w:spacing w:after="0" w:line="130" w:lineRule="exact"/>
        <w:rPr>
          <w:rFonts w:ascii="Arial" w:cs="Arial" w:eastAsia="Arial" w:hAnsi="Arial"/>
          <w:sz w:val="18"/>
          <w:szCs w:val="18"/>
          <w:color w:val="auto"/>
        </w:rPr>
      </w:pPr>
    </w:p>
    <w:p>
      <w:pPr>
        <w:jc w:val="both"/>
        <w:ind w:left="1800" w:right="439" w:hanging="180"/>
        <w:spacing w:after="0" w:line="279"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purchase date (which shall be (i) no earlier than 30 days nor later than 60 days from the date such notice is sent, if sent after consummation of the Change of Control and (ii) on the date of the Change of Control, if such notice is sent prior to consummation of the Change of Control, in each case, other than as may be required by law) (such date, the “</w:t>
      </w:r>
      <w:r>
        <w:rPr>
          <w:rFonts w:ascii="Arial" w:cs="Arial" w:eastAsia="Arial" w:hAnsi="Arial"/>
          <w:sz w:val="17"/>
          <w:szCs w:val="17"/>
          <w:u w:val="single" w:color="auto"/>
          <w:color w:val="auto"/>
        </w:rPr>
        <w:t>Change of Control Payment Date</w:t>
      </w:r>
      <w:r>
        <w:rPr>
          <w:rFonts w:ascii="Arial" w:cs="Arial" w:eastAsia="Arial" w:hAnsi="Arial"/>
          <w:sz w:val="17"/>
          <w:szCs w:val="17"/>
          <w:color w:val="auto"/>
        </w:rPr>
        <w:t>”); and</w:t>
      </w:r>
    </w:p>
    <w:p>
      <w:pPr>
        <w:spacing w:after="0" w:line="63" w:lineRule="exact"/>
        <w:rPr>
          <w:rFonts w:ascii="Arial" w:cs="Arial" w:eastAsia="Arial" w:hAnsi="Arial"/>
          <w:sz w:val="17"/>
          <w:szCs w:val="17"/>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instructions that a holder must follow in order to have its notes purchased.</w:t>
      </w:r>
    </w:p>
    <w:p>
      <w:pPr>
        <w:spacing w:after="0" w:line="158"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Holders of notes electing to have notes purchased pursuant to a Change of Control Offer will be required to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the paying agent, prior to the close of business on the third business day prior to the Change of Control Payment Date.</w:t>
      </w:r>
    </w:p>
    <w:p>
      <w:pPr>
        <w:sectPr>
          <w:pgSz w:w="11900" w:h="16838" w:orient="portrait"/>
          <w:cols w:equalWidth="0" w:num="1">
            <w:col w:w="9879"/>
          </w:cols>
          <w:pgMar w:left="580" w:top="131"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may make a Change of Control Offer in advance of a Change of Control and the Change of Control Payment Date, and our Change of Control Offer may be conditioned upon such Change of Control, if a definitive agreement is in place for the Change of Control at the time of making the Change of Control Offer.</w:t>
      </w:r>
    </w:p>
    <w:p>
      <w:pPr>
        <w:spacing w:after="0" w:line="107"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If holders of not less than 90% in aggregate principal amount of the outstanding notes validly tender and do not withdraw the notes in a Change of Control Offer and we, or any third party making a Change of Control Offer in lieu of us, as described below, purchases all of the notes validly tendered and not withdrawn by such holders, we will have the right, upon not less than 15 nor more than 60 days’ prior notice, given not more than 30 days following such purchase pursuant to the Change of Control Offer described above, to redeem all notes that remain outstanding following such purchase at a redemption price in cash equal to 101% of the principal amount thereof, plus accrued and unpaid interest, if any, up to, but excluding, the date of redemption (subject to the right of holders of record on the relevant record date to receive interest on the relevant interest payment date).</w:t>
      </w:r>
    </w:p>
    <w:p>
      <w:pPr>
        <w:spacing w:after="0" w:line="124" w:lineRule="exact"/>
        <w:rPr>
          <w:sz w:val="20"/>
          <w:szCs w:val="20"/>
          <w:color w:val="auto"/>
        </w:rPr>
      </w:pPr>
    </w:p>
    <w:p>
      <w:pPr>
        <w:jc w:val="both"/>
        <w:ind w:left="1260" w:right="639" w:firstLine="360"/>
        <w:spacing w:after="0" w:line="270" w:lineRule="auto"/>
        <w:rPr>
          <w:sz w:val="20"/>
          <w:szCs w:val="20"/>
          <w:color w:val="auto"/>
        </w:rPr>
      </w:pPr>
      <w:r>
        <w:rPr>
          <w:rFonts w:ascii="Arial" w:cs="Arial" w:eastAsia="Arial" w:hAnsi="Arial"/>
          <w:sz w:val="17"/>
          <w:szCs w:val="17"/>
          <w:color w:val="auto"/>
        </w:rPr>
        <w:t>We will not be required to make a Change of Control Offer if a third party makes such an offer in the manner, at the times and otherwise in compliance with the requirements for such an offer made by us and such third party purchases all notes properly tendered and not withdrawn under its offer.</w:t>
      </w:r>
    </w:p>
    <w:p>
      <w:pPr>
        <w:spacing w:after="0" w:line="96"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We will comply, to the extent applicable, with the requirements of Section 14(e) of the Exchange Act and any other securities laws or regulations in connection with the repurchase of notes pursuant to a Change of Control Offer. To the extent that the provisions of any securities laws or regulations conflict with the terms described in this prospectus, we shall comply with the applicable securities laws and regulations and will not be deemed to have breached our obligations by virtue thereof.</w:t>
      </w:r>
    </w:p>
    <w:p>
      <w:pPr>
        <w:spacing w:after="0" w:line="10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definition of Change of Control includes a phrase relating to the sale, assignment, lease, transfer or other conveyance of “all or substantially all” of the properties and assets of us and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the properties and assets of us and the Subsidiaries taken as a whole to another Person may be uncertain.</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Possible Future Guarantees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6"/>
          <w:szCs w:val="16"/>
          <w:color w:val="auto"/>
        </w:rPr>
        <w:t>None of our Subsidiaries are currently guarantors of the Old Notes and, at issuance, none of our Subsidiaries will be guarantors of the New Notes. The indenture provides that we will cause each of our Subsidiaries that guarantees or otherwise becomes liable at any time, whether as a borrower or an additional or co-borrower or otherwise, for or in respect of any Debt under any Material Credit Facility (as defined below) to concurrently therewith, execute and deliver to the trustee (i) a supplemental indenture providing for the guaranty by such Subsidiary, on a joint and several basis with all other such Subsidiaries, in the form as agreed between us, the applicable Subsidiary Guarantor and the trustee, of (x) the prompt payment in full when due of all amounts payable by us pursuant to the notes (whether for principal, interest, premium or otherwise) and the indenture, including all indemnities, fees and expenses payable by us thereunder and</w:t>
      </w:r>
    </w:p>
    <w:p>
      <w:pPr>
        <w:spacing w:after="0" w:line="3" w:lineRule="exact"/>
        <w:rPr>
          <w:sz w:val="20"/>
          <w:szCs w:val="20"/>
          <w:color w:val="auto"/>
        </w:rPr>
      </w:pPr>
    </w:p>
    <w:p>
      <w:pPr>
        <w:ind w:left="1260" w:right="599"/>
        <w:spacing w:after="0" w:line="238" w:lineRule="auto"/>
        <w:tabs>
          <w:tab w:leader="none" w:pos="15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prompt, full and faithful performance, observance and discharge by us of each and every covenant, agreement, undertaking and provision required pursuant to the notes or the indenture to be performed, observed or discharged by us and (ii) the officer’s certificate and opinion of counsel required by the indenture.</w:t>
      </w:r>
    </w:p>
    <w:p>
      <w:pPr>
        <w:spacing w:after="0" w:line="121"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At our election and by written notice to each holder of notes, any Subsidiary Guarantor that has provided a Subsidiary Guaranty as set forth above may be discharged from all of its obligations and liabilities under its Subsidiary Guaranty and shall be automatically released from its obligations thereunder without the need for the execution or delivery of any other document by the trustee, provided 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tabs>
          <w:tab w:leader="none" w:pos="15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if in connection with such Subsidiary Guarantor being released and discharged under any Material Credit Facility, any fee or other form of consideration is given to any holder of Debt under such Material Credit Facility for such release, the holders of the notes shall receive equivalent consideration substantially concurrently therewith and (v) the trustee shall have received a certificate of an officer certifying as to the matters set forth in clauses (i) through (iv). In the event of any such release, for purposes of “— </w:t>
      </w:r>
      <w:r>
        <w:rPr>
          <w:rFonts w:ascii="Arial" w:cs="Arial" w:eastAsia="Arial" w:hAnsi="Arial"/>
          <w:sz w:val="18"/>
          <w:szCs w:val="18"/>
          <w:u w:val="single" w:color="auto"/>
          <w:color w:val="auto"/>
        </w:rPr>
        <w:t>Restrictive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Covenants — Subsidiary Debt</w:t>
      </w:r>
      <w:r>
        <w:rPr>
          <w:rFonts w:ascii="Arial" w:cs="Arial" w:eastAsia="Arial" w:hAnsi="Arial"/>
          <w:sz w:val="18"/>
          <w:szCs w:val="18"/>
          <w:color w:val="auto"/>
        </w:rPr>
        <w:t>,” all Debt of such Subsidiary shall be deemed to have been incurred concurrently with such release.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Restrictive Covenants</w:t>
      </w:r>
    </w:p>
    <w:p>
      <w:pPr>
        <w:spacing w:after="0" w:line="14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 xml:space="preserve">The indenture contains the covenants set forth below. For the definition of certain terms used in this “—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xml:space="preserve">” section, see “—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below.</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Maintenance of Minimum Net Asset Value</w:t>
      </w:r>
    </w:p>
    <w:p>
      <w:pPr>
        <w:spacing w:after="0" w:line="158"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The indenture provides that we will not permit the Net Asset Value as of the close of business on the last day of each of our fiscal quarters to be less than $350,000,000 plus the greater of (i) zero dollars and (ii) 50% of Net Equity Capital Activity.</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Maintenance of Consolidated Unencumbered Assets</w:t>
      </w:r>
    </w:p>
    <w:p>
      <w:pPr>
        <w:spacing w:after="0" w:line="158"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The indenture provides that we will not permit the ratio of our Consolidated Unencumbered Assets as of the close of business on the last day of each of our fiscal quarters to the aggregate principal amount of unsecured Debt of us and our Subsidiaries as of such date to be less than 1.12 to 1.0.</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Limitation on Debt</w:t>
      </w:r>
    </w:p>
    <w:p>
      <w:pPr>
        <w:spacing w:after="0" w:line="14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The indenture provides that we will not permit (i) the Senior Debt Service Coverage Ratio as of the close of business on the last day of each of our fiscal quarters, calculated on a pro forma basis for the incurrence of any Debt during the applicable Testing Period, to be less than 1.2 to 1.0 and (ii) the Debt to Equity Ratio on the last day of each of our fiscal quarters to exceed 6.0 to 1.0. In giving pro forma effect to the incurrence of any Debt during the applicable Testing Period, with respect to the Senior Debt Service Coverage Ratio, (i) our Operating Cash Flow for the applicable Testing Period shall be increased by an amount equal to the product of (x) the principal amount of such Debt and (y) our average yield on earning assets during the applicable Testing Period and (ii) our Senior Debt Service shall be increased by the interest that would have been paid on such Debt had it been issued on the first day of the applicable Testing Period.</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Transactions with Affiliates</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indenture provides that we will not, and will not permit any Subsidiary to, enter into directly or indirectly any Material transaction or Material group of related transactions (including the purchase, lease, sale or exchange of properties of any kind or the rendering of any service) with any Affiliate (other than us or another Subsidiary), except in the ordinary course of business and upon fair and reasonable terms no less favorable to us or such Subsidiary than would be obtainable in a comparable arm’s-length transaction with a Person not an Affiliate.</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Liens</w:t>
      </w:r>
    </w:p>
    <w:p>
      <w:pPr>
        <w:spacing w:after="0" w:line="15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The indenture provides that we will not secure any Debt outstanding under or pursuant to any Material Credit Facility unless and until the notes shall be concurrently secured equally and ratably with such Debt pursuant to documentation reasonably acceptable to the trustee.</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Subsidiary Debt</w:t>
      </w:r>
    </w:p>
    <w:p>
      <w:pPr>
        <w:spacing w:after="0" w:line="144" w:lineRule="exact"/>
        <w:rPr>
          <w:sz w:val="20"/>
          <w:szCs w:val="20"/>
          <w:color w:val="auto"/>
        </w:rPr>
      </w:pPr>
    </w:p>
    <w:p>
      <w:pPr>
        <w:ind w:left="1260" w:right="459" w:firstLine="360"/>
        <w:spacing w:after="0" w:line="342" w:lineRule="auto"/>
        <w:rPr>
          <w:sz w:val="20"/>
          <w:szCs w:val="20"/>
          <w:color w:val="auto"/>
        </w:rPr>
      </w:pPr>
      <w:r>
        <w:rPr>
          <w:rFonts w:ascii="Arial" w:cs="Arial" w:eastAsia="Arial" w:hAnsi="Arial"/>
          <w:sz w:val="16"/>
          <w:szCs w:val="16"/>
          <w:color w:val="auto"/>
        </w:rPr>
        <w:t>The indenture provides that we will not permit any Subsidiary, which is not a Subsidiary Guarantor, to create, incur, assume or suffer to exist any unsecured Debt in an aggregate amount in excess of $75,000,000</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spacing w:after="0" w:line="261" w:lineRule="auto"/>
        <w:rPr>
          <w:sz w:val="20"/>
          <w:szCs w:val="20"/>
          <w:color w:val="auto"/>
        </w:rPr>
      </w:pPr>
      <w:r>
        <w:rPr>
          <w:rFonts w:ascii="Arial" w:cs="Arial" w:eastAsia="Arial" w:hAnsi="Arial"/>
          <w:sz w:val="18"/>
          <w:szCs w:val="18"/>
          <w:color w:val="auto"/>
        </w:rPr>
        <w:t>at any time for all such Subsidiaries; provided that for purposes of determining compliance with this covenant, certain exceptions to the definition of Debt apply.</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Economic Sanctions, Etc.</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The indenture provides that we will not, and will not permit any Controlled Entity to (i) become (including by virtue of being owned or controlled by a Blocked Person), own or control a Blocked Person or</w:t>
      </w:r>
    </w:p>
    <w:p>
      <w:pPr>
        <w:spacing w:after="0" w:line="1" w:lineRule="exact"/>
        <w:rPr>
          <w:sz w:val="20"/>
          <w:szCs w:val="20"/>
          <w:color w:val="auto"/>
        </w:rPr>
      </w:pPr>
    </w:p>
    <w:p>
      <w:pPr>
        <w:ind w:left="1260" w:right="479"/>
        <w:spacing w:after="0" w:line="237" w:lineRule="auto"/>
        <w:tabs>
          <w:tab w:leader="none" w:pos="15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or indirectly have any investment in or engage in any dealing or transaction (including any investment, dealing or transaction involving the proceeds of the notes) with any Person if such investment, dealing or transaction (x) would cause any holder or any affiliate of such holder to be in violation of, or subject to sanctions under, any law or regulation applicable to such holder, or (y) is prohibited by or subject to sanctions under any U.S. Economic Sanctions Laws.</w:t>
      </w:r>
    </w:p>
    <w:p>
      <w:pPr>
        <w:spacing w:after="0" w:line="123"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Except as described in the immediately preceding paragraphs, the indenture does not include restrictive covenants that would limit or restrict our or our Subsidiaries’ ability to pay dividends, incur liens, sell less than substantially all of our assets, enter into transactions with affiliates, enter into sale-leaseback transactions, enter into agreements that restrict the ability of our Subsidiaries to make distributions to us or make investments, issue or repurchase our other securities or secure indebtedness with the assets, stock or equity interests of our Subsidiaries.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Rating</w:t>
      </w:r>
    </w:p>
    <w:p>
      <w:pPr>
        <w:spacing w:after="0" w:line="1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The indenture provides that we will maintain a rating on the notes from a NRSRO at all times, and we will cause such rating to be updated on an annual basis. We will provide the trustee with a copy of any rating letter or notification from a NRSRO following receipt by us, in a form each holder of notes may share with their regulators, including the SVO. Such form of rating letter or notification will identify the notes to which such rating is applicable including the aggregate principal amount, initial interest rate, maturity date and private placement number assigned to the notes.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48"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indenture provides that we shall not, in any transaction or series of related transactions, consolidate with or merge into any Person or sell, assign, transfer, lease or otherwise convey all or substantially all of our properties and assets to any Person unless:</w:t>
      </w:r>
    </w:p>
    <w:p>
      <w:pPr>
        <w:spacing w:after="0" w:line="114" w:lineRule="exact"/>
        <w:rPr>
          <w:sz w:val="20"/>
          <w:szCs w:val="20"/>
          <w:color w:val="auto"/>
        </w:rPr>
      </w:pPr>
    </w:p>
    <w:p>
      <w:pPr>
        <w:ind w:left="1980" w:right="439" w:hanging="360"/>
        <w:spacing w:after="0" w:line="254"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either (i) we shall be the continuing Person (in the case of a merger) or (ii) the successor Person (if other than us) formed by such consolidation or into which we merged or which acquires by sale, assignment, transfer, lease or other conveyance all or substantially all of our properties and assets shall be an entity organized and existing under the laws of the United States, any state thereof or the District of Columbia and shall expressly assume the due and punctual payment of the principal of, any premium and interest on all the outstanding notes and the due and punctual performance and observance of every obligation in the indenture and the outstanding notes to be observed or performed by us;</w:t>
      </w:r>
    </w:p>
    <w:p>
      <w:pPr>
        <w:spacing w:after="0" w:line="110" w:lineRule="exact"/>
        <w:rPr>
          <w:rFonts w:ascii="Arial" w:cs="Arial" w:eastAsia="Arial" w:hAnsi="Arial"/>
          <w:sz w:val="18"/>
          <w:szCs w:val="18"/>
          <w:color w:val="auto"/>
        </w:rPr>
      </w:pPr>
    </w:p>
    <w:p>
      <w:pPr>
        <w:ind w:left="1980" w:right="539" w:hanging="360"/>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which, after notice or lapse of time or both, would become an Event of Default shall have occurred and be continuing;</w:t>
      </w:r>
    </w:p>
    <w:p>
      <w:pPr>
        <w:spacing w:after="0" w:line="116" w:lineRule="exact"/>
        <w:rPr>
          <w:rFonts w:ascii="Arial" w:cs="Arial" w:eastAsia="Arial" w:hAnsi="Arial"/>
          <w:sz w:val="18"/>
          <w:szCs w:val="18"/>
          <w:color w:val="auto"/>
        </w:rPr>
      </w:pPr>
    </w:p>
    <w:p>
      <w:pPr>
        <w:jc w:val="both"/>
        <w:ind w:left="1980" w:right="819" w:hanging="360"/>
        <w:spacing w:after="0" w:line="263"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Subsidiary Guarantor under any Subsidiary Guaranty that is outstanding at the time such transaction or each transaction in such a series of transactions occurs reaffirms its obligations under such Subsidiary Guaranty in writing at such time; and</w:t>
      </w:r>
    </w:p>
    <w:p>
      <w:pPr>
        <w:spacing w:after="0" w:line="102"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shall have delivered to the trustee the officer’s certificate and opinion of counsel required by the indenture.</w:t>
      </w:r>
    </w:p>
    <w:p>
      <w:pPr>
        <w:spacing w:after="0" w:line="103"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Upon any consolidation by us with or merger of us into any other Person or any sale, assignment, transfer, lease or other conveyance of all or substantially all of our properties and assets to any Person in accordance with the provisions described in the preceding paragraph, the successor Person or the Person to which such sale, assignment, transfer or lease or other conveyance is made shall succeed to, and be</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1" w:lineRule="auto"/>
        <w:rPr>
          <w:sz w:val="20"/>
          <w:szCs w:val="20"/>
          <w:color w:val="auto"/>
        </w:rPr>
      </w:pPr>
      <w:r>
        <w:rPr>
          <w:rFonts w:ascii="Arial" w:cs="Arial" w:eastAsia="Arial" w:hAnsi="Arial"/>
          <w:sz w:val="18"/>
          <w:szCs w:val="18"/>
          <w:color w:val="auto"/>
        </w:rPr>
        <w:t>substituted for, us under the indenture and the notes and, thereafter, except in the case of a lease, we shall be released from all obligations under the indenture and the notes.</w:t>
      </w:r>
    </w:p>
    <w:p>
      <w:pPr>
        <w:spacing w:after="0" w:line="90"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For purposes of this covenant, the sale, assignment, transfer, lease or conveyance of all or substantially all of the properties and assets of one or more of our Subsidiaries, which properties and assets, if held by us instead of such Subsidiaries, would constitute all or substantially all of our properties and assets on a consolidated basis, will be deemed to be the sale, assignment, transfer, lease or conveyance of all or substantially all of our properties and assets.</w:t>
      </w:r>
    </w:p>
    <w:p>
      <w:pPr>
        <w:spacing w:after="0" w:line="122" w:lineRule="exact"/>
        <w:rPr>
          <w:sz w:val="20"/>
          <w:szCs w:val="20"/>
          <w:color w:val="auto"/>
        </w:rPr>
      </w:pPr>
    </w:p>
    <w:p>
      <w:pPr>
        <w:ind w:left="1260" w:right="839" w:firstLine="360"/>
        <w:spacing w:after="0" w:line="243" w:lineRule="auto"/>
        <w:rPr>
          <w:sz w:val="20"/>
          <w:szCs w:val="20"/>
          <w:color w:val="auto"/>
        </w:rPr>
      </w:pPr>
      <w:r>
        <w:rPr>
          <w:rFonts w:ascii="Arial" w:cs="Arial" w:eastAsia="Arial" w:hAnsi="Arial"/>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and assets of a Person.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 of Financial Information</w:t>
      </w:r>
    </w:p>
    <w:p>
      <w:pPr>
        <w:spacing w:after="0" w:line="162"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For so long as any notes are outstanding, if we are subject to Section 13(a) or 15(d) of the Exchange Act or any successor provision, we shall deliver to the trustee the annual reports, quarterly reports and other documents which we are required to file with the SEC pursuant to Section 13(a) or 15(d) of the Exchange Act or any successor provision, within 15 days after the date that we are required to file the same with the SEC. Reports and other documents filed with the SEC via the EDGAR system will be deemed to be delivered to the trustee as of the time of such filing via EDGAR for purposes of this covenant; provided, however, that the trustee shall have no obligation whatsoever to determine whether or not such information, documents or reports have been filed via EDGAR.</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Delivery of Rule 144A Information</w:t>
      </w:r>
    </w:p>
    <w:p>
      <w:pPr>
        <w:spacing w:after="0" w:line="14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The indenture provides that, if at any time we are not subject to the reporting requirements of Section 13 or 15(d) of the Exchange Act, we will, so long as the notes constitute “restricted securities” within the meaning of Rule 144(a)(3) under the Securities Act, prepare and will furnish to the trustee and, upon written request, furnish to any holder of notes, any beneficial owner of an interest in a global note and any prospective purchaser or other prospective transferee of notes designated by a holder of notes or a beneficial owner of an interest in a global note, in each case, at our expense, the financial statements and other information specified in Rule 144A(d)(4) (or any successor provision thereto) under the Securities Act, in each case to the extent necessary to permit the resale or other transfer of notes by such holder or beneficial owner to be made in compliance with Rule 144A under the Securities Act. We will take such further action as any holder or beneficial owner of such notes may reasonably request to the extent from time to time required to enable such holder or beneficial owner to sell such notes or shares of our common stock in accordance with Rule 144A under the Securities Act, as such rule may be amended from time to time.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Definitions</w:t>
      </w:r>
    </w:p>
    <w:p>
      <w:pPr>
        <w:spacing w:after="0" w:line="16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Set forth below are the definitions of certain terms used in this “</w:t>
      </w:r>
      <w:r>
        <w:rPr>
          <w:rFonts w:ascii="Arial" w:cs="Arial" w:eastAsia="Arial" w:hAnsi="Arial"/>
          <w:sz w:val="18"/>
          <w:szCs w:val="18"/>
          <w:u w:val="single" w:color="auto"/>
          <w:color w:val="auto"/>
        </w:rPr>
        <w:t>Description of the Notes</w:t>
      </w:r>
      <w:r>
        <w:rPr>
          <w:rFonts w:ascii="Arial" w:cs="Arial" w:eastAsia="Arial" w:hAnsi="Arial"/>
          <w:sz w:val="18"/>
          <w:szCs w:val="18"/>
          <w:color w:val="auto"/>
        </w:rPr>
        <w:t>” section. Reference is made to the indenture for the definition of certain other terms defined in the indenture and used in this “</w:t>
      </w:r>
      <w:r>
        <w:rPr>
          <w:rFonts w:ascii="Arial" w:cs="Arial" w:eastAsia="Arial" w:hAnsi="Arial"/>
          <w:sz w:val="18"/>
          <w:szCs w:val="18"/>
          <w:u w:val="single" w:color="auto"/>
          <w:color w:val="auto"/>
        </w:rPr>
        <w:t>Description of the Notes</w:t>
      </w:r>
      <w:r>
        <w:rPr>
          <w:rFonts w:ascii="Arial" w:cs="Arial" w:eastAsia="Arial" w:hAnsi="Arial"/>
          <w:sz w:val="18"/>
          <w:szCs w:val="18"/>
          <w:color w:val="auto"/>
        </w:rPr>
        <w:t>” section for which no definitions are provided herein.</w:t>
      </w:r>
    </w:p>
    <w:p>
      <w:pPr>
        <w:spacing w:after="0" w:line="11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94"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Blocked Person</w:t>
      </w:r>
      <w:r>
        <w:rPr>
          <w:rFonts w:ascii="Arial" w:cs="Arial" w:eastAsia="Arial" w:hAnsi="Arial"/>
          <w:sz w:val="18"/>
          <w:szCs w:val="18"/>
          <w:color w:val="auto"/>
        </w:rPr>
        <w:t>”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Capitalized Lease Obligations</w:t>
      </w:r>
      <w:r>
        <w:rPr>
          <w:rFonts w:ascii="Arial" w:cs="Arial" w:eastAsia="Arial" w:hAnsi="Arial"/>
          <w:sz w:val="17"/>
          <w:szCs w:val="17"/>
          <w:color w:val="auto"/>
        </w:rPr>
        <w:t>” means obligations under a lease that are required to be capitalized for financial reporting purposes in accordance with GAAP. The amount of a Capitalized Lease Obligation is the capitalized amount of such obligation as would be required to be reflected on the balance sheet prepared in accordance with GAAP of the applicable Person as of the applicable date.</w:t>
      </w:r>
    </w:p>
    <w:p>
      <w:pPr>
        <w:spacing w:after="0" w:line="9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Unencumbered Assets</w:t>
      </w:r>
      <w:r>
        <w:rPr>
          <w:rFonts w:ascii="Arial" w:cs="Arial" w:eastAsia="Arial" w:hAnsi="Arial"/>
          <w:sz w:val="18"/>
          <w:szCs w:val="18"/>
          <w:color w:val="auto"/>
        </w:rPr>
        <w:t>” as of any date means all of the assets (excluding intangibles) of us and our Subsidiaries that are not subject to a Lien (other than a Permitted Lien) securing Debt, all on a consolidated basis for us and our Subsidiaries in accordance with GAAP, plus equity in our CLO securitizations that is not subject to a Lien (other than a Permitted Lien).</w:t>
      </w:r>
    </w:p>
    <w:p>
      <w:pPr>
        <w:spacing w:after="0" w:line="119"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Entity</w:t>
      </w:r>
      <w:r>
        <w:rPr>
          <w:rFonts w:ascii="Arial" w:cs="Arial" w:eastAsia="Arial" w:hAnsi="Arial"/>
          <w:sz w:val="17"/>
          <w:szCs w:val="17"/>
          <w:color w:val="auto"/>
        </w:rPr>
        <w:t>” means (a) any of our Subsidiaries and any of their or our respective Controlled Affiliates and (b) if we have a parent company, such parent company and its Controlled Affiliates.</w:t>
      </w:r>
    </w:p>
    <w:p>
      <w:pPr>
        <w:spacing w:after="0" w:line="79"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for any Person, (a) obligations created, issued or incurred by such Person for borrowed money (whether by loan, the issuance and sale of debt securities or the sale of property to another Person subject to agreement, contingent or otherwise, to repurchase such property from such Person);</w:t>
      </w:r>
    </w:p>
    <w:p>
      <w:pPr>
        <w:ind w:left="1260" w:right="419"/>
        <w:spacing w:after="0" w:line="265" w:lineRule="auto"/>
        <w:tabs>
          <w:tab w:leader="none" w:pos="15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Debt of others secured by a lien on the property of such Person, whether or not the respective Debt so secured has been assumed by such Person; (d) obligations (contingent or otherwise) of such Person in respect of letters of credit or similar instruments issued or accepted by banks and other financial institutions for account of such Person;</w:t>
      </w:r>
    </w:p>
    <w:p>
      <w:pPr>
        <w:spacing w:after="0" w:line="1" w:lineRule="exact"/>
        <w:rPr>
          <w:rFonts w:ascii="Arial" w:cs="Arial" w:eastAsia="Arial" w:hAnsi="Arial"/>
          <w:sz w:val="17"/>
          <w:szCs w:val="17"/>
          <w:color w:val="auto"/>
        </w:rPr>
      </w:pPr>
    </w:p>
    <w:p>
      <w:pPr>
        <w:ind w:left="1520" w:hanging="260"/>
        <w:spacing w:after="0"/>
        <w:tabs>
          <w:tab w:leader="none" w:pos="1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obligations of such Person under repurchase agreements, sale/buy-back agreements or like arrangements;</w:t>
      </w:r>
    </w:p>
    <w:p>
      <w:pPr>
        <w:spacing w:after="0" w:line="32" w:lineRule="exact"/>
        <w:rPr>
          <w:rFonts w:ascii="Arial" w:cs="Arial" w:eastAsia="Arial" w:hAnsi="Arial"/>
          <w:sz w:val="16"/>
          <w:szCs w:val="16"/>
          <w:color w:val="auto"/>
        </w:rPr>
      </w:pPr>
    </w:p>
    <w:p>
      <w:pPr>
        <w:ind w:left="1260" w:right="419"/>
        <w:spacing w:after="0" w:line="251" w:lineRule="auto"/>
        <w:tabs>
          <w:tab w:leader="none" w:pos="149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of others guaranteed by such Person; (g) all obligations of such Person incurred in connection with the acquisition or carrying of fixed assets by such Person; (h) Recourse Debt of such Person; (i) Debt of general partnerships of which such Person is secondarily or contingently liable (other than by endorsement of instruments in the course of collection), whether by reason of any agreement to acquire such indebtedness to supply or advance sums or otherwise; (j) Capitalized Lease Obligations of such Person; (k) all net liabilities or obligations under any interest rate, interest rate swap, interest rate cap, interest rate floor, interest rate collar, or other hedging instrument or agreement; and (l) all obligations of such Person under Financing Leases.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to Equity Ratio</w:t>
      </w:r>
      <w:r>
        <w:rPr>
          <w:rFonts w:ascii="Arial" w:cs="Arial" w:eastAsia="Arial" w:hAnsi="Arial"/>
          <w:sz w:val="17"/>
          <w:szCs w:val="17"/>
          <w:color w:val="auto"/>
        </w:rPr>
        <w:t>” means, with respect to us on any date, the ratio of (i) (a) Total Liabilities, plus</w:t>
      </w:r>
    </w:p>
    <w:p>
      <w:pPr>
        <w:spacing w:after="0" w:line="35" w:lineRule="exact"/>
        <w:rPr>
          <w:sz w:val="20"/>
          <w:szCs w:val="20"/>
          <w:color w:val="auto"/>
        </w:rPr>
      </w:pPr>
    </w:p>
    <w:p>
      <w:pPr>
        <w:ind w:left="1520" w:hanging="260"/>
        <w:spacing w:after="0"/>
        <w:tabs>
          <w:tab w:leader="none" w:pos="1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letters of credit outstanding, minus (c) the TRUPs Indebtedness and any other Subordinated Debt, minus</w:t>
      </w:r>
    </w:p>
    <w:p>
      <w:pPr>
        <w:spacing w:after="0" w:line="20" w:lineRule="exact"/>
        <w:rPr>
          <w:rFonts w:ascii="Arial" w:cs="Arial" w:eastAsia="Arial" w:hAnsi="Arial"/>
          <w:sz w:val="17"/>
          <w:szCs w:val="17"/>
          <w:color w:val="auto"/>
        </w:rPr>
      </w:pPr>
    </w:p>
    <w:p>
      <w:pPr>
        <w:ind w:left="1260" w:right="439"/>
        <w:spacing w:after="0" w:line="260" w:lineRule="auto"/>
        <w:tabs>
          <w:tab w:leader="none" w:pos="15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indebtedness related to the Agency Business, minus (e) allowance for loss sharing obligations relating to the Agency Business, to (ii) Tangible Capital Base.</w:t>
      </w:r>
    </w:p>
    <w:p>
      <w:pPr>
        <w:spacing w:after="0" w:line="11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the rate of interest per annum that is the greater of (a) 2.00% above the applicable interest rate on the notes as calculated as described under “— </w:t>
      </w:r>
      <w:r>
        <w:rPr>
          <w:rFonts w:ascii="Arial" w:cs="Arial" w:eastAsia="Arial" w:hAnsi="Arial"/>
          <w:sz w:val="18"/>
          <w:szCs w:val="18"/>
          <w:u w:val="single" w:color="auto"/>
          <w:color w:val="auto"/>
        </w:rPr>
        <w:t>Maturity and Interest</w:t>
      </w:r>
      <w:r>
        <w:rPr>
          <w:rFonts w:ascii="Arial" w:cs="Arial" w:eastAsia="Arial" w:hAnsi="Arial"/>
          <w:sz w:val="18"/>
          <w:szCs w:val="18"/>
          <w:color w:val="auto"/>
        </w:rPr>
        <w:t>” or (b) 2.00% over the rate of interest publicly announced by Citibank, N.A. in New York, New York as its “base” or “prime” rate.</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20" w:lineRule="exact"/>
        <w:rPr>
          <w:sz w:val="20"/>
          <w:szCs w:val="20"/>
          <w:color w:val="auto"/>
        </w:rPr>
      </w:pPr>
    </w:p>
    <w:p>
      <w:pPr>
        <w:ind w:left="1260" w:right="459"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Lease</w:t>
      </w:r>
      <w:r>
        <w:rPr>
          <w:rFonts w:ascii="Arial" w:cs="Arial" w:eastAsia="Arial" w:hAnsi="Arial"/>
          <w:sz w:val="17"/>
          <w:szCs w:val="17"/>
          <w:color w:val="auto"/>
        </w:rPr>
        <w:t>” means any lease of property, real or personal, the obligations of the lessee in respect of which are required in accordance with GAAP to be capitalized on a balance sheet of the lessee.</w:t>
      </w:r>
    </w:p>
    <w:p>
      <w:pPr>
        <w:spacing w:after="0" w:line="79"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set forth in opinions and pronouncements of the Accounting Principles Board and the American Institute of Certified Public Accountants and in statements and pronouncements of the Financial Accounting Standards Board, or in opinions, statements or pronouncements of any other entity approved by a significant segment of the accounting profession, which are applicable to the circumstances as of the date of determination.</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spacing w:after="0" w:line="68"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purchase such indebtedness or obligation or any property constituting security therefor;</w:t>
      </w:r>
    </w:p>
    <w:p>
      <w:pPr>
        <w:spacing w:after="0" w:line="103" w:lineRule="exact"/>
        <w:rPr>
          <w:rFonts w:ascii="Arial" w:cs="Arial" w:eastAsia="Arial" w:hAnsi="Arial"/>
          <w:sz w:val="18"/>
          <w:szCs w:val="18"/>
          <w:color w:val="auto"/>
        </w:rPr>
      </w:pPr>
    </w:p>
    <w:p>
      <w:pPr>
        <w:ind w:left="1800" w:right="67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spacing w:after="0" w:line="6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otherwise to assure the owner of such indebtedness or obligation against loss in respect thereof.</w:t>
      </w:r>
    </w:p>
    <w:p>
      <w:pPr>
        <w:spacing w:after="0" w:line="169" w:lineRule="exact"/>
        <w:rPr>
          <w:sz w:val="20"/>
          <w:szCs w:val="20"/>
          <w:color w:val="auto"/>
        </w:rPr>
      </w:pPr>
    </w:p>
    <w:p>
      <w:pPr>
        <w:ind w:left="1260" w:right="919" w:firstLine="360"/>
        <w:spacing w:after="0" w:line="248" w:lineRule="auto"/>
        <w:rPr>
          <w:sz w:val="20"/>
          <w:szCs w:val="20"/>
          <w:color w:val="auto"/>
        </w:rPr>
      </w:pPr>
      <w:r>
        <w:rPr>
          <w:rFonts w:ascii="Arial" w:cs="Arial" w:eastAsia="Arial" w:hAnsi="Arial"/>
          <w:sz w:val="18"/>
          <w:szCs w:val="18"/>
          <w:color w:val="auto"/>
        </w:rPr>
        <w:t>In any computation of the indebtedness or other liabilities of the obligor under any guarantee, the indebtedness or other obligations that are the subject of such guarantee shall be assumed to be direct obligations of such obligor.</w:t>
      </w:r>
    </w:p>
    <w:p>
      <w:pPr>
        <w:spacing w:after="0" w:line="101"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14"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w:t>
      </w:r>
      <w:r>
        <w:rPr>
          <w:rFonts w:ascii="Arial" w:cs="Arial" w:eastAsia="Arial" w:hAnsi="Arial"/>
          <w:sz w:val="18"/>
          <w:szCs w:val="18"/>
          <w:color w:val="auto"/>
        </w:rPr>
        <w:t>” means material in relation to the business, operations, affairs, financial condition, assets or properties of us and our Subsidiaries taken as a whole.</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Credit Facility</w:t>
      </w:r>
      <w:r>
        <w:rPr>
          <w:rFonts w:ascii="Arial" w:cs="Arial" w:eastAsia="Arial" w:hAnsi="Arial"/>
          <w:sz w:val="18"/>
          <w:szCs w:val="18"/>
          <w:color w:val="auto"/>
        </w:rPr>
        <w:t>” means, as to us,</w:t>
      </w:r>
    </w:p>
    <w:p>
      <w:pPr>
        <w:spacing w:after="0" w:line="144" w:lineRule="exact"/>
        <w:rPr>
          <w:sz w:val="20"/>
          <w:szCs w:val="20"/>
          <w:color w:val="auto"/>
        </w:rPr>
      </w:pPr>
    </w:p>
    <w:p>
      <w:pPr>
        <w:ind w:left="1260" w:right="879" w:firstLine="360"/>
        <w:spacing w:after="0" w:line="248" w:lineRule="auto"/>
        <w:tabs>
          <w:tab w:leader="none" w:pos="19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Indenture dated as of March 13, 2018 between us and U.S. Bank National Association, as trustee, including any renewals, extensions, amendments, supplements, restatements, replacements or refinancing thereof;</w:t>
      </w:r>
    </w:p>
    <w:p>
      <w:pPr>
        <w:spacing w:after="0" w:line="114" w:lineRule="exact"/>
        <w:rPr>
          <w:rFonts w:ascii="Arial" w:cs="Arial" w:eastAsia="Arial" w:hAnsi="Arial"/>
          <w:sz w:val="18"/>
          <w:szCs w:val="18"/>
          <w:color w:val="auto"/>
        </w:rPr>
      </w:pPr>
    </w:p>
    <w:p>
      <w:pPr>
        <w:ind w:left="1260" w:right="519" w:firstLine="360"/>
        <w:spacing w:after="0" w:line="248" w:lineRule="auto"/>
        <w:tabs>
          <w:tab w:leader="none" w:pos="19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Indenture dated as of July 3, 2018 between us and U.S. Bank National Association, as trustee, including any renewals, extensions, amendments, supplements, restatements, replacements or refinancing thereof;</w:t>
      </w:r>
    </w:p>
    <w:p>
      <w:pPr>
        <w:spacing w:after="0" w:line="114" w:lineRule="exact"/>
        <w:rPr>
          <w:rFonts w:ascii="Arial" w:cs="Arial" w:eastAsia="Arial" w:hAnsi="Arial"/>
          <w:sz w:val="18"/>
          <w:szCs w:val="18"/>
          <w:color w:val="auto"/>
        </w:rPr>
      </w:pPr>
    </w:p>
    <w:p>
      <w:pPr>
        <w:ind w:left="1260" w:right="439" w:firstLine="360"/>
        <w:spacing w:after="0" w:line="248" w:lineRule="auto"/>
        <w:tabs>
          <w:tab w:leader="none" w:pos="19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Indenture dated as of July 20, 2018 between us and U.S. Bank National Association, as trustee, including any renewals, extensions, amendments, supplements, restatements, replacements or refinancing thereof;</w:t>
      </w:r>
    </w:p>
    <w:p>
      <w:pPr>
        <w:spacing w:after="0" w:line="100" w:lineRule="exact"/>
        <w:rPr>
          <w:rFonts w:ascii="Arial" w:cs="Arial" w:eastAsia="Arial" w:hAnsi="Arial"/>
          <w:sz w:val="18"/>
          <w:szCs w:val="18"/>
          <w:color w:val="auto"/>
        </w:rPr>
      </w:pPr>
    </w:p>
    <w:p>
      <w:pPr>
        <w:ind w:left="1260" w:right="519" w:firstLine="360"/>
        <w:spacing w:after="0" w:line="248" w:lineRule="auto"/>
        <w:tabs>
          <w:tab w:leader="none" w:pos="19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Note Purchase Agreement dated as of March 22, 2019 between us and each of the purchasers party thereto, including any renewals, extensions, amendments, supplements, restatements, replacements or refinancing thereof;</w:t>
      </w:r>
    </w:p>
    <w:p>
      <w:pPr>
        <w:spacing w:after="0" w:line="114" w:lineRule="exact"/>
        <w:rPr>
          <w:rFonts w:ascii="Arial" w:cs="Arial" w:eastAsia="Arial" w:hAnsi="Arial"/>
          <w:sz w:val="18"/>
          <w:szCs w:val="18"/>
          <w:color w:val="auto"/>
        </w:rPr>
      </w:pPr>
    </w:p>
    <w:p>
      <w:pPr>
        <w:jc w:val="both"/>
        <w:ind w:left="1260" w:right="479" w:firstLine="360"/>
        <w:spacing w:after="0" w:line="248" w:lineRule="auto"/>
        <w:tabs>
          <w:tab w:leader="none" w:pos="19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Note Purchase Agreement dated as of October 15, 2019 between us and each of the purchasers party thereto, including any renewals, extensions, amendments, supplements, restatements, replacements or refinancing thereof;</w:t>
      </w:r>
    </w:p>
    <w:p>
      <w:pPr>
        <w:spacing w:after="0" w:line="114" w:lineRule="exact"/>
        <w:rPr>
          <w:rFonts w:ascii="Arial" w:cs="Arial" w:eastAsia="Arial" w:hAnsi="Arial"/>
          <w:sz w:val="18"/>
          <w:szCs w:val="18"/>
          <w:color w:val="auto"/>
        </w:rPr>
      </w:pPr>
    </w:p>
    <w:p>
      <w:pPr>
        <w:ind w:left="1260" w:right="599" w:firstLine="360"/>
        <w:spacing w:after="0" w:line="248" w:lineRule="auto"/>
        <w:tabs>
          <w:tab w:leader="none" w:pos="19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Indenture dated as of November 12, 2019 between us and U.S. Bank National Association, as trustee, including any renewals, extensions, amendments, supplements, restatements, replacements or refinancing thereof;</w:t>
      </w:r>
    </w:p>
    <w:p>
      <w:pPr>
        <w:spacing w:after="0" w:line="100" w:lineRule="exact"/>
        <w:rPr>
          <w:rFonts w:ascii="Arial" w:cs="Arial" w:eastAsia="Arial" w:hAnsi="Arial"/>
          <w:sz w:val="18"/>
          <w:szCs w:val="18"/>
          <w:color w:val="auto"/>
        </w:rPr>
      </w:pPr>
    </w:p>
    <w:p>
      <w:pPr>
        <w:ind w:left="1260" w:right="519" w:firstLine="360"/>
        <w:spacing w:after="0" w:line="248" w:lineRule="auto"/>
        <w:tabs>
          <w:tab w:leader="none" w:pos="19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Note Purchase Agreement dated as of March 4, 2020 between us and each of the purchasers party thereto, including any renewals, extensions, amendments, supplements, restatements, replacements or refinancing thereof;</w:t>
      </w:r>
    </w:p>
    <w:p>
      <w:pPr>
        <w:spacing w:after="0" w:line="114" w:lineRule="exact"/>
        <w:rPr>
          <w:rFonts w:ascii="Arial" w:cs="Arial" w:eastAsia="Arial" w:hAnsi="Arial"/>
          <w:sz w:val="18"/>
          <w:szCs w:val="18"/>
          <w:color w:val="auto"/>
        </w:rPr>
      </w:pPr>
    </w:p>
    <w:p>
      <w:pPr>
        <w:ind w:left="1260" w:right="679" w:firstLine="360"/>
        <w:spacing w:after="0" w:line="248" w:lineRule="auto"/>
        <w:tabs>
          <w:tab w:leader="none" w:pos="19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Amended and Restated Note Purchase Agreement dated as of June 25, 2020 between us and each of the purchasers party thereto, including any renewals, extensions, amendments, supplements, restatements, replacements or refinancing thereof; and</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38" w:lineRule="auto"/>
        <w:tabs>
          <w:tab w:leader="none" w:pos="18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the covenant “</w:t>
      </w:r>
      <w:r>
        <w:rPr>
          <w:rFonts w:ascii="Arial" w:cs="Arial" w:eastAsia="Arial" w:hAnsi="Arial"/>
          <w:sz w:val="18"/>
          <w:szCs w:val="18"/>
          <w:u w:val="single" w:color="auto"/>
          <w:color w:val="auto"/>
        </w:rPr>
        <w:t>Restricted Covenants — Liens</w:t>
      </w:r>
      <w:r>
        <w:rPr>
          <w:rFonts w:ascii="Arial" w:cs="Arial" w:eastAsia="Arial" w:hAnsi="Arial"/>
          <w:sz w:val="18"/>
          <w:szCs w:val="18"/>
          <w:color w:val="auto"/>
        </w:rPr>
        <w:t>” only, any other agreement(s) creating or evidencing indebtedness for borrowed money entered into on or after April 30, 2021 by us, or in respect of which we are an obligor or otherwise provides a guarantee or other credit support (“</w:t>
      </w:r>
      <w:r>
        <w:rPr>
          <w:rFonts w:ascii="Arial" w:cs="Arial" w:eastAsia="Arial" w:hAnsi="Arial"/>
          <w:sz w:val="18"/>
          <w:szCs w:val="18"/>
          <w:u w:val="single" w:color="auto"/>
          <w:color w:val="auto"/>
        </w:rPr>
        <w:t>Credit Facility</w:t>
      </w:r>
      <w:r>
        <w:rPr>
          <w:rFonts w:ascii="Arial" w:cs="Arial" w:eastAsia="Arial" w:hAnsi="Arial"/>
          <w:sz w:val="18"/>
          <w:szCs w:val="18"/>
          <w:color w:val="auto"/>
        </w:rPr>
        <w:t>”), in a principal amount outstanding or available for borrowing equal to or greater than $50,000,000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p>
    <w:p>
      <w:pPr>
        <w:spacing w:after="0" w:line="11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Net Asset Value</w:t>
      </w:r>
      <w:r>
        <w:rPr>
          <w:rFonts w:ascii="Arial" w:cs="Arial" w:eastAsia="Arial" w:hAnsi="Arial"/>
          <w:sz w:val="18"/>
          <w:szCs w:val="18"/>
          <w:color w:val="auto"/>
        </w:rPr>
        <w:t xml:space="preserve"> ” means, as of the date of determination, the total value of the assets less the total value of the liabilities shown on our consolidated statement of assets, liabilities and equity on such date, as calculated and determined in accordance with GAAP.</w:t>
      </w:r>
    </w:p>
    <w:p>
      <w:pPr>
        <w:spacing w:after="0" w:line="114"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xml:space="preserve"> ” means with respect to any issuance or sale of Equity Interests, the cash proceeds of such issuance, sale or incurrence, as the case may be, net of attorneys’ fees, accountants’ fees, underwriters’ or placement agents’ fees, discounts and commissions and brokerage, consultant and other fees and expenses incurred in connection with such issuance, sale or incurrence, as the case may be, and net of taxes paid or payable as a result thereof.</w:t>
      </w:r>
    </w:p>
    <w:p>
      <w:pPr>
        <w:spacing w:after="0" w:line="122" w:lineRule="exact"/>
        <w:rPr>
          <w:sz w:val="20"/>
          <w:szCs w:val="20"/>
          <w:color w:val="auto"/>
        </w:rPr>
      </w:pPr>
    </w:p>
    <w:p>
      <w:pPr>
        <w:jc w:val="both"/>
        <w:ind w:left="1260" w:right="419" w:firstLine="36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Equity Capital Activity</w:t>
      </w:r>
      <w:r>
        <w:rPr>
          <w:rFonts w:ascii="Arial" w:cs="Arial" w:eastAsia="Arial" w:hAnsi="Arial"/>
          <w:sz w:val="17"/>
          <w:szCs w:val="17"/>
          <w:color w:val="auto"/>
        </w:rPr>
        <w:t>” means the aggregate Net Cash Proceeds from the sale by us of our Equity Interests at any time after the date of the indenture less (i) the aggregate amount paid by us after the date of the indenture to repurchase our Equity Interests and (ii) the aggregate amount of cash distributions made by us to the holders of our Equity Interests at any time after the date of the indenture.</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Office of Foreign Assets Control of the United States Department of the Treasury.</w:t>
      </w:r>
    </w:p>
    <w:p>
      <w:pPr>
        <w:spacing w:after="0" w:line="16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Sanctions Program</w:t>
      </w:r>
      <w:r>
        <w:rPr>
          <w:rFonts w:ascii="Arial" w:cs="Arial" w:eastAsia="Arial" w:hAnsi="Arial"/>
          <w:sz w:val="18"/>
          <w:szCs w:val="18"/>
          <w:color w:val="auto"/>
        </w:rPr>
        <w:t xml:space="preserve"> ” means any economic or trade sanction that OFAC is responsible for administering and enforcing. A list of OFAC Sanctions Programs may be found at http://www.treasury.gov/ resource-center/sanctions/Programs/Pages/Programs.aspx.</w:t>
      </w:r>
    </w:p>
    <w:p>
      <w:pPr>
        <w:spacing w:after="0" w:line="114"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Cash Flow</w:t>
      </w:r>
      <w:r>
        <w:rPr>
          <w:rFonts w:ascii="Arial" w:cs="Arial" w:eastAsia="Arial" w:hAnsi="Arial"/>
          <w:sz w:val="17"/>
          <w:szCs w:val="17"/>
          <w:color w:val="auto"/>
        </w:rPr>
        <w:t>” means, for any period of determination, with respect to us and our Subsidiaries, on a consolidated basis, net cash provided by operating activities, exclusive of the effects from changes in operating assets and liabilities, plus cash paid for income taxes and interest payments, determined in accordance with GAAP applied in a manner consistent with our most recent audited financial statements.</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securing our obligations under the notes;</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governmental charges or levies, either not delinquent or being contested in good faith by appropriate proceedings, provided any reserve or other appropriate provision as is required by GAAP has been made therefor; and</w:t>
      </w:r>
    </w:p>
    <w:p>
      <w:pPr>
        <w:spacing w:after="0" w:line="62"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Liens of a depository institution or broker-dealer arising solely by virtue of any contractual, statutory or common law provisions relating to broker’s Liens, banker’s Liens, rights of set-off or similar rights and remedies as to deposit or brokerage accounts or other funds maintained with such depository institution or broker-dealer.</w:t>
      </w:r>
    </w:p>
    <w:p>
      <w:pPr>
        <w:spacing w:after="0" w:line="119" w:lineRule="exact"/>
        <w:rPr>
          <w:sz w:val="20"/>
          <w:szCs w:val="20"/>
          <w:color w:val="auto"/>
        </w:rPr>
      </w:pPr>
    </w:p>
    <w:p>
      <w:pPr>
        <w:jc w:val="center"/>
        <w:ind w:left="1720" w:right="12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corporation, joint venture, association, joint stock company, trust, unincorporated organization, government or any agency or political subdivision thereof or any other entity.</w:t>
      </w:r>
    </w:p>
    <w:p>
      <w:pPr>
        <w:spacing w:after="0" w:line="79"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Recourse Debt</w:t>
      </w:r>
      <w:r>
        <w:rPr>
          <w:rFonts w:ascii="Arial" w:cs="Arial" w:eastAsia="Arial" w:hAnsi="Arial"/>
          <w:sz w:val="18"/>
          <w:szCs w:val="18"/>
          <w:color w:val="auto"/>
        </w:rPr>
        <w:t>” means, for any Person on any date, without duplication, the indebtedness of such Person (and its consolidated Subsidiaries) for which such Person (and its consolidated Subsidiaries) is directly responsible or liable as obligor or guarantor (excluding obligations arising by reason of customary recourse carve-outs under a non-recourse instrument, including, but not limited to, fraud, misappropriation and environmental indemnities).</w:t>
      </w:r>
    </w:p>
    <w:p>
      <w:pPr>
        <w:spacing w:after="0" w:line="108"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Debt Service</w:t>
      </w:r>
      <w:r>
        <w:rPr>
          <w:rFonts w:ascii="Arial" w:cs="Arial" w:eastAsia="Arial" w:hAnsi="Arial"/>
          <w:sz w:val="17"/>
          <w:szCs w:val="17"/>
          <w:color w:val="auto"/>
        </w:rPr>
        <w:t>” means, for the Testing Period, the sum of: (a) the interest paid in cash or required to be paid in cash by us and our Subsidiaries, on a consolidated basis, for the Testing Period with respect to all Debt, together with all fees and expenses paid on account of or with respect thereto, minus the interest paid in cash or required to be paid in cash by us and our Subsidiaries, on a consolidated basis, for</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the Testing Period with respect to all Subordinated Debt together with all fees and expenses paid on account of or with respect thereto, in each case, determined in accordance with GAAP; plus (b) regularly scheduled principal amortization payments made or required to be made on account of Debt for the Testing Period (exclusive of pay-offs or pay-downs on account of such Debt), in each case determined in accordance with GAAP.</w:t>
      </w:r>
    </w:p>
    <w:p>
      <w:pPr>
        <w:spacing w:after="0" w:line="107"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 Service Coverage Ratio</w:t>
      </w:r>
      <w:r>
        <w:rPr>
          <w:rFonts w:ascii="Arial" w:cs="Arial" w:eastAsia="Arial" w:hAnsi="Arial"/>
          <w:sz w:val="18"/>
          <w:szCs w:val="18"/>
          <w:color w:val="auto"/>
        </w:rPr>
        <w:t>” means, with respect to us, at any date of determination, the ratio of Operating Cash Flow during the Testing Period to Senior Debt Service for the Testing Period.</w:t>
      </w:r>
    </w:p>
    <w:p>
      <w:pPr>
        <w:spacing w:after="0" w:line="103"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with respect to any Person, a Subsidiary of such Person that would constitute a “significant subsidiary” as such term is defined in Article 1, Rule 1-02 of Regulation S-X, promulgated pursuant to the Securities Act, as in effect on the original date of issuance of the notes.</w:t>
      </w:r>
    </w:p>
    <w:p>
      <w:pPr>
        <w:spacing w:after="0" w:line="9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all Debt of us and our Subsidiaries that is effectively subordinated in right of payment to the notes.</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or “</w:t>
      </w:r>
      <w:r>
        <w:rPr>
          <w:rFonts w:ascii="Arial" w:cs="Arial" w:eastAsia="Arial" w:hAnsi="Arial"/>
          <w:sz w:val="18"/>
          <w:szCs w:val="18"/>
          <w:u w:val="single" w:color="auto"/>
          <w:color w:val="auto"/>
        </w:rPr>
        <w:t>Subsidiaries</w:t>
      </w:r>
      <w:r>
        <w:rPr>
          <w:rFonts w:ascii="Arial" w:cs="Arial" w:eastAsia="Arial" w:hAnsi="Arial"/>
          <w:sz w:val="18"/>
          <w:szCs w:val="18"/>
          <w:color w:val="auto"/>
        </w:rPr>
        <w:t>” means, as to any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18"/>
          <w:szCs w:val="18"/>
          <w:u w:val="single" w:color="auto"/>
          <w:color w:val="auto"/>
        </w:rPr>
        <w:t>Subsidiary</w:t>
      </w:r>
      <w:r>
        <w:rPr>
          <w:rFonts w:ascii="Arial" w:cs="Arial" w:eastAsia="Arial" w:hAnsi="Arial"/>
          <w:sz w:val="18"/>
          <w:szCs w:val="18"/>
          <w:color w:val="auto"/>
        </w:rPr>
        <w:t>” or to “</w:t>
      </w:r>
      <w:r>
        <w:rPr>
          <w:rFonts w:ascii="Arial" w:cs="Arial" w:eastAsia="Arial" w:hAnsi="Arial"/>
          <w:sz w:val="18"/>
          <w:szCs w:val="18"/>
          <w:u w:val="single" w:color="auto"/>
          <w:color w:val="auto"/>
        </w:rPr>
        <w:t>Subsidiaries</w:t>
      </w:r>
      <w:r>
        <w:rPr>
          <w:rFonts w:ascii="Arial" w:cs="Arial" w:eastAsia="Arial" w:hAnsi="Arial"/>
          <w:sz w:val="18"/>
          <w:szCs w:val="18"/>
          <w:color w:val="auto"/>
        </w:rPr>
        <w:t>” shall refer to our Subsidiary or Subsidiaries.</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means each Subsidiary that has executed and delivered a Subsidiary Guaranty.</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 the date of hereof, none of our Subsidiaries are Subsidiary Guarantors.</w:t>
      </w:r>
    </w:p>
    <w:p>
      <w:pPr>
        <w:spacing w:after="0" w:line="143"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w:t>
      </w:r>
      <w:r>
        <w:rPr>
          <w:rFonts w:ascii="Arial" w:cs="Arial" w:eastAsia="Arial" w:hAnsi="Arial"/>
          <w:sz w:val="18"/>
          <w:szCs w:val="18"/>
          <w:color w:val="auto"/>
        </w:rPr>
        <w:t>” means the guarantee by each Subsidiary Guarantor of our obligations under the indenture and the New Notes.</w:t>
      </w:r>
    </w:p>
    <w:p>
      <w:pPr>
        <w:spacing w:after="0" w:line="8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Capital Base</w:t>
      </w:r>
      <w:r>
        <w:rPr>
          <w:rFonts w:ascii="Arial" w:cs="Arial" w:eastAsia="Arial" w:hAnsi="Arial"/>
          <w:sz w:val="18"/>
          <w:szCs w:val="18"/>
          <w:color w:val="auto"/>
        </w:rPr>
        <w:t>” means, with respect to us on any date, Total Assets less Total Liabilities plus the TRUPs Indebtedness plus any other subordinated debt.</w:t>
      </w:r>
    </w:p>
    <w:p>
      <w:pPr>
        <w:spacing w:after="0" w:line="10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Testing Period</w:t>
      </w:r>
      <w:r>
        <w:rPr>
          <w:rFonts w:ascii="Arial" w:cs="Arial" w:eastAsia="Arial" w:hAnsi="Arial"/>
          <w:sz w:val="18"/>
          <w:szCs w:val="18"/>
          <w:color w:val="auto"/>
        </w:rPr>
        <w:t>” means, with respect to us, at any date of determination, our four consecutive fiscal quarters most recently ended immediately prior to such determination date.</w:t>
      </w:r>
    </w:p>
    <w:p>
      <w:pPr>
        <w:spacing w:after="0" w:line="103"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w:t>
      </w:r>
      <w:r>
        <w:rPr>
          <w:rFonts w:ascii="Arial" w:cs="Arial" w:eastAsia="Arial" w:hAnsi="Arial"/>
          <w:sz w:val="18"/>
          <w:szCs w:val="18"/>
          <w:color w:val="auto"/>
        </w:rPr>
        <w:t>” means, with respect to us on any date, all amounts that would be included under total assets on the balance sheet of us and our consolidated Subsidiaries at such date, determined on a consolidated basis in accordance with GAAP less intangible assets at such date, determined in accordance with GAAP.</w:t>
      </w:r>
    </w:p>
    <w:p>
      <w:pPr>
        <w:spacing w:after="0" w:line="106"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Liabilities</w:t>
      </w:r>
      <w:r>
        <w:rPr>
          <w:rFonts w:ascii="Arial" w:cs="Arial" w:eastAsia="Arial" w:hAnsi="Arial"/>
          <w:sz w:val="18"/>
          <w:szCs w:val="18"/>
          <w:color w:val="auto"/>
        </w:rPr>
        <w:t>” means, with respect to us on any date, all amounts that would be included under total liabilities on the balance sheet of us and our consolidated Subsidiaries at such date, determined on a consolidated basis in accordance with GAAP.</w:t>
      </w:r>
    </w:p>
    <w:p>
      <w:pPr>
        <w:spacing w:after="0" w:line="116"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TRUPs Indebtedness</w:t>
      </w:r>
      <w:r>
        <w:rPr>
          <w:rFonts w:ascii="Arial" w:cs="Arial" w:eastAsia="Arial" w:hAnsi="Arial"/>
          <w:sz w:val="17"/>
          <w:szCs w:val="17"/>
          <w:color w:val="auto"/>
        </w:rPr>
        <w:t>” means, with respect to us, as of any date, all amounts that would be included under junior subordinated notes on the balance sheet of us and our consolidated Subsidiaries at such date, determined on a consolidated basis in accordance with GAAP, consistent with our past practices.</w:t>
      </w:r>
    </w:p>
    <w:p>
      <w:pPr>
        <w:spacing w:after="0" w:line="9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Economic Sanctions Laws</w:t>
      </w:r>
      <w:r>
        <w:rPr>
          <w:rFonts w:ascii="Arial" w:cs="Arial" w:eastAsia="Arial" w:hAnsi="Arial"/>
          <w:sz w:val="18"/>
          <w:szCs w:val="18"/>
          <w:color w:val="auto"/>
        </w:rPr>
        <w:t>”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spacing w:after="0" w:line="10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as applied to stock of any Person, means shares, interests, participations or other equivalents in the equity interest (however designated) in such Person having ordinary voting power for the election of, or to appoint or to approve the appointment of the directors (or the equivalent) of such Person, other than shares, interests, participations or other equivalents having such power only by reason of the occurrence of a contingency.</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Event of Default</w:t>
      </w:r>
      <w:r>
        <w:rPr>
          <w:rFonts w:ascii="Arial" w:cs="Arial" w:eastAsia="Arial" w:hAnsi="Arial"/>
          <w:sz w:val="18"/>
          <w:szCs w:val="18"/>
          <w:color w:val="auto"/>
        </w:rPr>
        <w:t>” with respect to the notes is defined in the indenture as being:</w:t>
      </w:r>
    </w:p>
    <w:p>
      <w:pPr>
        <w:spacing w:after="0" w:line="158" w:lineRule="exact"/>
        <w:rPr>
          <w:sz w:val="20"/>
          <w:szCs w:val="20"/>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the payment of any principal of, or premium, if any, on any note when due;</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for 30 days in the payment of any interest on any note;</w:t>
      </w:r>
    </w:p>
    <w:p>
      <w:pPr>
        <w:spacing w:after="0" w:line="144" w:lineRule="exact"/>
        <w:rPr>
          <w:rFonts w:ascii="Arial" w:cs="Arial" w:eastAsia="Arial" w:hAnsi="Arial"/>
          <w:sz w:val="18"/>
          <w:szCs w:val="18"/>
          <w:color w:val="auto"/>
        </w:rPr>
      </w:pPr>
    </w:p>
    <w:p>
      <w:pPr>
        <w:ind w:left="1980" w:right="599" w:hanging="360"/>
        <w:spacing w:after="0" w:line="274"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default by us in the performance of or compliance with the covenants described under “— </w:t>
      </w:r>
      <w:r>
        <w:rPr>
          <w:rFonts w:ascii="Arial" w:cs="Arial" w:eastAsia="Arial" w:hAnsi="Arial"/>
          <w:sz w:val="17"/>
          <w:szCs w:val="17"/>
          <w:u w:val="single" w:color="auto"/>
          <w:color w:val="auto"/>
        </w:rPr>
        <w:t>Restrictive Covenants — Maintenance of Minimum Net Asset Value</w:t>
      </w:r>
      <w:r>
        <w:rPr>
          <w:rFonts w:ascii="Arial" w:cs="Arial" w:eastAsia="Arial" w:hAnsi="Arial"/>
          <w:sz w:val="17"/>
          <w:szCs w:val="17"/>
          <w:color w:val="auto"/>
        </w:rPr>
        <w:t xml:space="preserve">,” “— </w:t>
      </w:r>
      <w:r>
        <w:rPr>
          <w:rFonts w:ascii="Arial" w:cs="Arial" w:eastAsia="Arial" w:hAnsi="Arial"/>
          <w:sz w:val="17"/>
          <w:szCs w:val="17"/>
          <w:u w:val="single" w:color="auto"/>
          <w:color w:val="auto"/>
        </w:rPr>
        <w:t>Restrictive Covenants</w:t>
      </w:r>
    </w:p>
    <w:p>
      <w:pPr>
        <w:ind w:left="1980" w:right="419"/>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 Maintenance of Consolidated Unencumbered Assets</w:t>
      </w:r>
      <w:r>
        <w:rPr>
          <w:rFonts w:ascii="Arial" w:cs="Arial" w:eastAsia="Arial" w:hAnsi="Arial"/>
          <w:sz w:val="18"/>
          <w:szCs w:val="18"/>
          <w:color w:val="auto"/>
        </w:rPr>
        <w:t xml:space="preserve">,” “— </w:t>
      </w:r>
      <w:r>
        <w:rPr>
          <w:rFonts w:ascii="Arial" w:cs="Arial" w:eastAsia="Arial" w:hAnsi="Arial"/>
          <w:sz w:val="18"/>
          <w:szCs w:val="18"/>
          <w:u w:val="single" w:color="auto"/>
          <w:color w:val="auto"/>
        </w:rPr>
        <w:t>Restrictive Covenants — Limitation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on Debt</w:t>
      </w:r>
      <w:r>
        <w:rPr>
          <w:rFonts w:ascii="Arial" w:cs="Arial" w:eastAsia="Arial" w:hAnsi="Arial"/>
          <w:sz w:val="18"/>
          <w:szCs w:val="18"/>
          <w:color w:val="auto"/>
        </w:rPr>
        <w:t xml:space="preserve">” and “— </w:t>
      </w:r>
      <w:r>
        <w:rPr>
          <w:rFonts w:ascii="Arial" w:cs="Arial" w:eastAsia="Arial" w:hAnsi="Arial"/>
          <w:sz w:val="18"/>
          <w:szCs w:val="18"/>
          <w:u w:val="single" w:color="auto"/>
          <w:color w:val="auto"/>
        </w:rPr>
        <w:t>Restrictive Covenants — Subsidiary Debt</w:t>
      </w:r>
      <w:r>
        <w:rPr>
          <w:rFonts w:ascii="Arial" w:cs="Arial" w:eastAsia="Arial" w:hAnsi="Arial"/>
          <w:sz w:val="18"/>
          <w:szCs w:val="18"/>
          <w:color w:val="auto"/>
        </w:rPr>
        <w:t>,” or our failure to deliver to the trustee an officer’s certificate specifying when a Default or Event of Default has occurred within 15 days of becoming aware of its occurrence;</w:t>
      </w:r>
    </w:p>
    <w:p>
      <w:pPr>
        <w:spacing w:after="0" w:line="111" w:lineRule="exact"/>
        <w:rPr>
          <w:rFonts w:ascii="Arial" w:cs="Arial" w:eastAsia="Arial" w:hAnsi="Arial"/>
          <w:sz w:val="17"/>
          <w:szCs w:val="17"/>
          <w:color w:val="auto"/>
        </w:rPr>
      </w:pPr>
    </w:p>
    <w:p>
      <w:pPr>
        <w:ind w:left="1980" w:right="639" w:hanging="360"/>
        <w:spacing w:after="0" w:line="274"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default in the performance, or breach, of any other covenant or warranty of us or any Subsidiary Guarantor in the indenture or in the notes which shall not have been remedied for a period of</w:t>
      </w:r>
    </w:p>
    <w:p>
      <w:pPr>
        <w:ind w:left="1980" w:right="699"/>
        <w:spacing w:after="0" w:line="260" w:lineRule="auto"/>
        <w:rPr>
          <w:rFonts w:ascii="Arial" w:cs="Arial" w:eastAsia="Arial" w:hAnsi="Arial"/>
          <w:sz w:val="17"/>
          <w:szCs w:val="17"/>
          <w:color w:val="auto"/>
        </w:rPr>
      </w:pPr>
      <w:r>
        <w:rPr>
          <w:rFonts w:ascii="Arial" w:cs="Arial" w:eastAsia="Arial" w:hAnsi="Arial"/>
          <w:sz w:val="18"/>
          <w:szCs w:val="18"/>
          <w:color w:val="auto"/>
        </w:rPr>
        <w:t>60 days after written notice to us by the trustee or the holders of not less than 25% in aggregate principal amount of the notes then outstanding;</w:t>
      </w:r>
    </w:p>
    <w:p>
      <w:pPr>
        <w:spacing w:after="0" w:line="117" w:lineRule="exact"/>
        <w:rPr>
          <w:rFonts w:ascii="Arial" w:cs="Arial" w:eastAsia="Arial" w:hAnsi="Arial"/>
          <w:sz w:val="17"/>
          <w:szCs w:val="17"/>
          <w:color w:val="auto"/>
        </w:rPr>
      </w:pPr>
    </w:p>
    <w:p>
      <w:pPr>
        <w:ind w:left="1980" w:right="439" w:hanging="360"/>
        <w:spacing w:after="0" w:line="271" w:lineRule="auto"/>
        <w:tabs>
          <w:tab w:leader="none" w:pos="1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default in the payment of principal when due on, or any other default resulting in the acceleration of, other indebtedness of ours or of any Significant Subsidiary for borrowed money where the aggregate principal amount with respect to which the default or acceleration has occurred exceeds $25,000,000 or which constitutes a failure to pay when due (after expiration of any applicable grace period) such indebtedness in an aggregate principal amount exceeding $25,000,000, but only if such indebtedness for borrowed money is not discharged or such acceleration is not rescinded or annulled within 30 days after written notice to us by the trustee or to us and the trustee by the holders of at least 25% in aggregate principal amount of the notes then outstanding;</w:t>
      </w:r>
    </w:p>
    <w:p>
      <w:pPr>
        <w:spacing w:after="0" w:line="97" w:lineRule="exact"/>
        <w:rPr>
          <w:rFonts w:ascii="Arial" w:cs="Arial" w:eastAsia="Arial" w:hAnsi="Arial"/>
          <w:sz w:val="17"/>
          <w:szCs w:val="17"/>
          <w:color w:val="auto"/>
        </w:rPr>
      </w:pPr>
    </w:p>
    <w:p>
      <w:pPr>
        <w:ind w:left="1980" w:right="619" w:hanging="360"/>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or any of our Significant Subsidiaries; or</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 or more final judgments or orders for the payment of money aggregating in excess of</w:t>
      </w:r>
    </w:p>
    <w:p>
      <w:pPr>
        <w:spacing w:after="0" w:line="23" w:lineRule="exact"/>
        <w:rPr>
          <w:rFonts w:ascii="Arial" w:cs="Arial" w:eastAsia="Arial" w:hAnsi="Arial"/>
          <w:sz w:val="18"/>
          <w:szCs w:val="18"/>
          <w:color w:val="auto"/>
        </w:rPr>
      </w:pPr>
    </w:p>
    <w:p>
      <w:pPr>
        <w:ind w:left="1980" w:right="559"/>
        <w:spacing w:after="0" w:line="253" w:lineRule="auto"/>
        <w:rPr>
          <w:rFonts w:ascii="Arial" w:cs="Arial" w:eastAsia="Arial" w:hAnsi="Arial"/>
          <w:sz w:val="18"/>
          <w:szCs w:val="18"/>
          <w:color w:val="auto"/>
        </w:rPr>
      </w:pPr>
      <w:r>
        <w:rPr>
          <w:rFonts w:ascii="Arial" w:cs="Arial" w:eastAsia="Arial" w:hAnsi="Arial"/>
          <w:sz w:val="18"/>
          <w:szCs w:val="18"/>
          <w:color w:val="auto"/>
        </w:rPr>
        <w:t>$100,000,000 (or its equivalent in the relevant currency of payment), including any such final order enforcing a binding arbitration decision, are rendered against one or more of us and our Significant Subsidiaries and which judgments are not, within 60 days after entry thereof, bonded, discharged or stayed pending appeal, or are not discharged within 60 days after the expiration of such stay.</w:t>
      </w:r>
    </w:p>
    <w:p>
      <w:pPr>
        <w:spacing w:after="0" w:line="12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indenture provides that the trustee may withhold notice to the holders of the notes of the occurrence of a Default with respect to the notes (except a Default in payment of principal, premium, if any, or interest) if the trustee considers it in the interest of the holders to do so.</w:t>
      </w:r>
    </w:p>
    <w:p>
      <w:pPr>
        <w:spacing w:after="0" w:line="11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an Event of Default under paragraph (vi) above has occurred, all the notes then outstanding shall automatically become immediately due and payable. If any other Event of Default has occurred and is continuing, then either the trustee or the holders of not less than 25% of the aggregate principal amount of the notes then outstanding may declare the principal of all the notes, and accrued and unpaid interest, if any, thereon to be due and payable immediately, by a notice in writing to us (and to the trustee if given by the holders), and the trustee at the written direction of such holders shall declare the principal of, premium, and accrued and unpaid interest, if any, on the notes to be immediately due and payable. At any time after the notes have been accelerated, but before a judgment or decree based on acceleration has been obtained, the holders of a majority of the aggregate principal amount of notes then outstanding may, under certain circumstances, rescind and annul such acceleration.</w:t>
      </w:r>
    </w:p>
    <w:p>
      <w:pPr>
        <w:spacing w:after="0" w:line="107"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Upon any notes becoming due and payable as set forth above, whether automatically or by declaration of acceleration, such notes will forthwith mature and the entire unpaid principal amount of such notes, plus</w:t>
      </w:r>
    </w:p>
    <w:p>
      <w:pPr>
        <w:ind w:left="1520" w:hanging="260"/>
        <w:spacing w:after="0" w:line="235" w:lineRule="auto"/>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accrued and unpaid interest thereon (including interest accrued thereon at the Default Rate) and</w:t>
      </w:r>
    </w:p>
    <w:p>
      <w:pPr>
        <w:ind w:left="1260" w:right="419"/>
        <w:spacing w:after="0" w:line="260" w:lineRule="auto"/>
        <w:tabs>
          <w:tab w:leader="none" w:pos="152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premium determined in respect of such principal amount calculated as the greater of (i) 100% of the aggregate principal amount of the notes due and payable on such date or (ii) the sum of the present values of the remaining scheduled payments of principal and interest on the notes due and payable that would have</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3" w:lineRule="auto"/>
        <w:rPr>
          <w:sz w:val="20"/>
          <w:szCs w:val="20"/>
          <w:color w:val="auto"/>
        </w:rPr>
      </w:pPr>
      <w:r>
        <w:rPr>
          <w:rFonts w:ascii="Arial" w:cs="Arial" w:eastAsia="Arial" w:hAnsi="Arial"/>
          <w:sz w:val="17"/>
          <w:szCs w:val="17"/>
          <w:color w:val="auto"/>
        </w:rPr>
        <w:t>been due if the notes matured on the maturity date, discounted to the date of acceleration on a semi-annual basis (assuming a 360-day year consisting of twelve 30-day months) at the Treasury Rate plus 50 basis points, shall all be immediately due and payable, in each and every case without presentment, demand protest or further notice, all of which are hereby waived. Each holder of a note has the right to hold the notes free from repayment by us (except as herein specifically provided for) and the provision for payment of a premium by us in the event that the notes are prepaid or are accelerated as a result of an Event of Default, which is intended to provide compensation for the deprivation of such right under such circumstances. Upon payment of such amount, all of our obligations in respect of the payment of principal of, premium and interest on the notes shall terminate.</w:t>
      </w:r>
    </w:p>
    <w:p>
      <w:pPr>
        <w:spacing w:after="0" w:line="103"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If an Event of Default under paragraphs (i) or (ii) above with respect to the notes has occurred and is continuing, any holder or holders of notes at the time outstanding affected by such Event of Default may at any time, at its or their option, by notice or notices to us and the trustee, declare the notes held by it or them to be immediately due and payable.</w:t>
      </w:r>
    </w:p>
    <w:p>
      <w:pPr>
        <w:spacing w:after="0" w:line="120"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indenture provides that, subject to the duty of the trustee during the continuance of an Event of Default to act with the required standard of care, the trustee will be under no obligation to exercise any of its rights or powers under the indenture at the request or direction of any of the holders of notes unless such holders shall have offered to the trustee satisfactory security or indemnity. Subject to the foregoing, the holders of a majority of the aggregate principal amount of the notes then outstanding will have the right, subject to certain limitations, to direct the time, method and place of conducting any proceeding for any remedy available to the trustee under the indenture with respect to the notes.</w:t>
      </w:r>
    </w:p>
    <w:p>
      <w:pPr>
        <w:spacing w:after="0" w:line="123" w:lineRule="exact"/>
        <w:rPr>
          <w:sz w:val="20"/>
          <w:szCs w:val="20"/>
          <w:color w:val="auto"/>
        </w:rPr>
      </w:pPr>
    </w:p>
    <w:p>
      <w:pPr>
        <w:ind w:left="1260" w:right="519" w:firstLine="360"/>
        <w:spacing w:after="0" w:line="238" w:lineRule="auto"/>
        <w:rPr>
          <w:sz w:val="20"/>
          <w:szCs w:val="20"/>
          <w:color w:val="auto"/>
        </w:rPr>
      </w:pPr>
      <w:r>
        <w:rPr>
          <w:rFonts w:ascii="Arial" w:cs="Arial" w:eastAsia="Arial" w:hAnsi="Arial"/>
          <w:sz w:val="18"/>
          <w:szCs w:val="18"/>
          <w:color w:val="auto"/>
        </w:rPr>
        <w:t>No holder of any notes shall have any right to institute any proceeding with respect to the indenture, any Subsidiary Guaranty or the notes or for any other remedy thereunder unless: (i) such holder previously has given written notice to the trustee of a continuing Event of Default with respect to the notes; (ii) the holders of at least 25% in aggregate principal amount of the notes then outstanding have made written request to the trustee to pursue the remedy, and offered to the trustee security or indemnity reasonably satisfactory to it against the costs, expenses and liabilities incurred in compliance with such request; (iii) in the 60- day period following receipt of the notice, request and offer of security or indemnity referred to above, the trustee has failed to initiate such proceeding; and (iv) during such 60- day period, the trustee has not received from the holders of a majority in aggregate principal amount of the notes then outstanding a direction inconsistent with such request.</w:t>
      </w:r>
    </w:p>
    <w:p>
      <w:pPr>
        <w:spacing w:after="0" w:line="107"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Notwithstanding the provisions described in the immediately preceding paragraph or any other provision of the indenture, the holder of any note shall have the right, which is absolute and unconditional, to receive payment of the principal of and premium, if any, and interest on such note on the respective dates such payments are due and to institute suit for enforcement of any such payment, and such right shall not be impaired without the consent of such holder.</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are required to furnish to the trustee an officer’s certificate within 60 days (or such shorter period</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is 15 days greater than the period applicable to the filing of our Quarterly Report on Form 10-Q with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 regardless of whether we are subject to the filing requirements thereof) after the end of each of our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first three fiscal quarters of our fiscal year as to our compliance with the covenants described under</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Maintenance of Minimum Net Asset Value</w:t>
      </w:r>
      <w:r>
        <w:rPr>
          <w:rFonts w:ascii="Arial" w:cs="Arial" w:eastAsia="Arial" w:hAnsi="Arial"/>
          <w:sz w:val="17"/>
          <w:szCs w:val="17"/>
          <w:color w:val="auto"/>
        </w:rPr>
        <w:t>,” “</w:t>
      </w:r>
      <w:r>
        <w:rPr>
          <w:rFonts w:ascii="Arial" w:cs="Arial" w:eastAsia="Arial" w:hAnsi="Arial"/>
          <w:sz w:val="17"/>
          <w:szCs w:val="17"/>
          <w:u w:val="single" w:color="auto"/>
          <w:color w:val="auto"/>
        </w:rPr>
        <w:t>Maintenance of Consolidated Unencumbered Assets</w:t>
      </w:r>
      <w:r>
        <w:rPr>
          <w:rFonts w:ascii="Arial" w:cs="Arial" w:eastAsia="Arial" w:hAnsi="Arial"/>
          <w:sz w:val="17"/>
          <w:szCs w:val="17"/>
          <w:color w:val="auto"/>
        </w:rPr>
        <w:t>,”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Limitation on Debt</w:t>
      </w:r>
      <w:r>
        <w:rPr>
          <w:rFonts w:ascii="Arial" w:cs="Arial" w:eastAsia="Arial" w:hAnsi="Arial"/>
          <w:sz w:val="17"/>
          <w:szCs w:val="17"/>
          <w:color w:val="auto"/>
        </w:rPr>
        <w:t xml:space="preserve">,” in “— </w:t>
      </w:r>
      <w:r>
        <w:rPr>
          <w:rFonts w:ascii="Arial" w:cs="Arial" w:eastAsia="Arial" w:hAnsi="Arial"/>
          <w:sz w:val="17"/>
          <w:szCs w:val="17"/>
          <w:u w:val="single" w:color="auto"/>
          <w:color w:val="auto"/>
        </w:rPr>
        <w:t>Restrictive Covenants</w:t>
      </w:r>
      <w:r>
        <w:rPr>
          <w:rFonts w:ascii="Arial" w:cs="Arial" w:eastAsia="Arial" w:hAnsi="Arial"/>
          <w:sz w:val="17"/>
          <w:szCs w:val="17"/>
          <w:color w:val="auto"/>
        </w:rPr>
        <w:t>” above. We are also required to furnish to the trustee an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officer’s certificate within 120 days (or such shorter period as is 15 days greater than the period applicable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the filing of our Annual Report on Form 10-K with the SEC regardless of whether we are subject to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filing requirements thereof) after the end of each fiscal year (which as of the date hereof, ends on</w:t>
      </w:r>
    </w:p>
    <w:p>
      <w:pPr>
        <w:ind w:left="1260"/>
        <w:spacing w:after="0" w:line="234" w:lineRule="auto"/>
        <w:rPr>
          <w:sz w:val="20"/>
          <w:szCs w:val="20"/>
          <w:color w:val="auto"/>
        </w:rPr>
      </w:pPr>
      <w:r>
        <w:rPr>
          <w:rFonts w:ascii="Arial" w:cs="Arial" w:eastAsia="Arial" w:hAnsi="Arial"/>
          <w:sz w:val="18"/>
          <w:szCs w:val="18"/>
          <w:color w:val="auto"/>
        </w:rPr>
        <w:t>December 31) as to our performance of, or compliance with, all of our obligations under the indenture,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including the covenants described under “— </w:t>
      </w:r>
      <w:r>
        <w:rPr>
          <w:rFonts w:ascii="Arial" w:cs="Arial" w:eastAsia="Arial" w:hAnsi="Arial"/>
          <w:sz w:val="17"/>
          <w:szCs w:val="17"/>
          <w:u w:val="single" w:color="auto"/>
          <w:color w:val="auto"/>
        </w:rPr>
        <w:t>Restrictive Covenants</w:t>
      </w:r>
      <w:r>
        <w:rPr>
          <w:rFonts w:ascii="Arial" w:cs="Arial" w:eastAsia="Arial" w:hAnsi="Arial"/>
          <w:sz w:val="17"/>
          <w:szCs w:val="17"/>
          <w:color w:val="auto"/>
        </w:rPr>
        <w:t>” above. The trustee shall have no duty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monitor, inquire as to or ascertain compliance with, or the performance of, our obligations under the</w:t>
      </w:r>
    </w:p>
    <w:p>
      <w:pPr>
        <w:ind w:left="1260"/>
        <w:spacing w:after="0" w:line="234" w:lineRule="auto"/>
        <w:rPr>
          <w:sz w:val="20"/>
          <w:szCs w:val="20"/>
          <w:color w:val="auto"/>
        </w:rPr>
      </w:pPr>
      <w:r>
        <w:rPr>
          <w:rFonts w:ascii="Arial" w:cs="Arial" w:eastAsia="Arial" w:hAnsi="Arial"/>
          <w:sz w:val="18"/>
          <w:szCs w:val="18"/>
          <w:color w:val="auto"/>
        </w:rPr>
        <w:t>indenture other than our obligations with respect to payment of principal or interest due on any note,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provided that the trustee remains the paying agent for the notes.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w:t>
      </w:r>
    </w:p>
    <w:p>
      <w:pPr>
        <w:spacing w:after="0" w:line="162"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The indenture contains provisions permitting us, any Subsidiary Guarantors and the trustee, with the consent of the holders of a majority in aggregate principal amount of the notes then outstanding, to modify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679"/>
        <w:spacing w:after="0" w:line="248" w:lineRule="auto"/>
        <w:rPr>
          <w:sz w:val="20"/>
          <w:szCs w:val="20"/>
          <w:color w:val="auto"/>
        </w:rPr>
      </w:pPr>
      <w:r>
        <w:rPr>
          <w:rFonts w:ascii="Arial" w:cs="Arial" w:eastAsia="Arial" w:hAnsi="Arial"/>
          <w:sz w:val="18"/>
          <w:szCs w:val="18"/>
          <w:color w:val="auto"/>
        </w:rPr>
        <w:t>or amend any of the provisions of the indenture, the notes or any Subsidiary Guaranty or the rights of the holders of the notes under the indenture, provided that no such modification or amendment shall, among other things:</w:t>
      </w:r>
    </w:p>
    <w:p>
      <w:pPr>
        <w:spacing w:after="0" w:line="60"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stated maturity of the notes;</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amount of any notes or any premium thereon, or reduce the rate of interest thereon;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any place where, or the currency in which, any notes are payable;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 the holder’s right to institute suit to enforce the payment of any notes when due;</w:t>
      </w:r>
    </w:p>
    <w:p>
      <w:pPr>
        <w:spacing w:after="0" w:line="117" w:lineRule="exact"/>
        <w:rPr>
          <w:rFonts w:ascii="Arial" w:cs="Arial" w:eastAsia="Arial" w:hAnsi="Arial"/>
          <w:sz w:val="18"/>
          <w:szCs w:val="18"/>
          <w:color w:val="auto"/>
        </w:rPr>
      </w:pPr>
    </w:p>
    <w:p>
      <w:pPr>
        <w:ind w:left="1800" w:right="919" w:hanging="180"/>
        <w:spacing w:after="0" w:line="25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aforesaid percentage of notes, the consent of whose holders is required for any such modification or amendment or the consent of whose holders is required for any waiver (of compliance with certain provisions of the indenture or certain defaults thereunder and their consequences), without in each case obtaining the consent of the holder of each note then outstanding that is so affected;</w:t>
      </w:r>
    </w:p>
    <w:p>
      <w:pPr>
        <w:spacing w:after="0" w:line="66"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premium on, if any,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78"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make any change in the provisions of the indenture relating to waivers of past Defaults or the rights of holders to receive payments of principal of, premium on, if any, or interest on, the notes;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or</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 any Subsidiary Guarantor from any of its obligations under its Subsidiary Guaranty or the indenture, except in accordance with the terms of the indenture.</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indenture also contains provisions permitting us, any Subsidiary Guarantor and the trustee, without notice to or the consent of the holders of any notes, to modify or amend the indenture in order to, among other things:</w:t>
      </w:r>
    </w:p>
    <w:p>
      <w:pPr>
        <w:spacing w:after="0" w:line="60" w:lineRule="exact"/>
        <w:rPr>
          <w:sz w:val="20"/>
          <w:szCs w:val="20"/>
          <w:color w:val="auto"/>
        </w:rPr>
      </w:pPr>
    </w:p>
    <w:p>
      <w:pPr>
        <w:ind w:left="1800" w:right="91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 successor to us and the assumption by that successor of our obligations under the indenture and the notes;</w:t>
      </w:r>
    </w:p>
    <w:p>
      <w:pPr>
        <w:spacing w:after="0" w:line="62" w:lineRule="exact"/>
        <w:rPr>
          <w:rFonts w:ascii="Arial" w:cs="Arial" w:eastAsia="Arial" w:hAnsi="Arial"/>
          <w:sz w:val="18"/>
          <w:szCs w:val="18"/>
          <w:color w:val="auto"/>
        </w:rPr>
      </w:pPr>
    </w:p>
    <w:p>
      <w:pPr>
        <w:ind w:left="1800" w:right="459" w:hanging="180"/>
        <w:spacing w:after="0" w:line="286"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provide for the assumption of our any Subsidiary’s obligations to the holders of the notes in accordance with the terms of the indenture and any Subsidiary Guaranty if any consolidation, merger or sale of all or substantially all of our or any Subsidiary Guarantor’s property or assets occurs;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to the Events of Default or our covenants for the benefit of the holders of the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and appointment of a successor trustee;</w:t>
      </w:r>
    </w:p>
    <w:p>
      <w:pPr>
        <w:spacing w:after="0" w:line="117" w:lineRule="exact"/>
        <w:rPr>
          <w:rFonts w:ascii="Arial" w:cs="Arial" w:eastAsia="Arial" w:hAnsi="Arial"/>
          <w:sz w:val="18"/>
          <w:szCs w:val="18"/>
          <w:color w:val="auto"/>
        </w:rPr>
      </w:pPr>
    </w:p>
    <w:p>
      <w:pPr>
        <w:ind w:left="1800" w:right="599" w:hanging="180"/>
        <w:spacing w:after="0" w:line="279"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cure any ambiguity or omission, or to correct or supplement any provision therein which may be defective or inconsistent with any other provisions therein or to make any other provisions with respect to matters or questions arising under the indenture which shall not adversely affect the interests of the holders of the notes then outstanding, as determined by us;</w:t>
      </w:r>
    </w:p>
    <w:p>
      <w:pPr>
        <w:spacing w:after="0" w:line="63"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secure the notes or to provide a guarantee of the notes;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a successor trustee or the appointment of more than one trustee;</w:t>
      </w:r>
    </w:p>
    <w:p>
      <w:pPr>
        <w:spacing w:after="0" w:line="117" w:lineRule="exact"/>
        <w:rPr>
          <w:rFonts w:ascii="Arial" w:cs="Arial" w:eastAsia="Arial" w:hAnsi="Arial"/>
          <w:sz w:val="18"/>
          <w:szCs w:val="18"/>
          <w:color w:val="auto"/>
        </w:rPr>
      </w:pPr>
    </w:p>
    <w:p>
      <w:pPr>
        <w:ind w:left="1800" w:right="1039" w:hanging="180"/>
        <w:spacing w:after="0" w:line="308"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effect or maintain qualification of the indenture under the Trust Indenture Act, as contemplated by the indenture or otherwise;</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release any Subsidiary Guarantor in accordance with the terms of the indenture; or</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allow any Subsidiary Guarantor to execute a supplemental indenture and/or a Subsidiary Guaranty with respect to the notes.</w:t>
      </w:r>
    </w:p>
    <w:p>
      <w:pPr>
        <w:spacing w:after="0" w:line="103"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The holders of a majority in aggregate principal amount of the notes then outstanding may, on behalf of all holders of notes, waive compliance by us with certain provisions of the indenture, including the</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7" w:lineRule="auto"/>
        <w:rPr>
          <w:sz w:val="20"/>
          <w:szCs w:val="20"/>
          <w:color w:val="auto"/>
        </w:rPr>
      </w:pPr>
      <w:r>
        <w:rPr>
          <w:rFonts w:ascii="Arial" w:cs="Arial" w:eastAsia="Arial" w:hAnsi="Arial"/>
          <w:sz w:val="18"/>
          <w:szCs w:val="18"/>
          <w:color w:val="auto"/>
        </w:rPr>
        <w:t xml:space="preserve">covenants described above under “—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The holders of a majority in aggregate principal amount of the notes then outstanding may, on behalf of all holders of notes, waive any past Default under the indenture and its consequences, except a Default in the payment of the principal of, or premium, if any, or interest on any notes or in respect of a covenant or provision which cannot be modified or amended without the consent of the holder of each note.</w:t>
      </w:r>
    </w:p>
    <w:p>
      <w:pPr>
        <w:spacing w:after="0" w:line="107"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In determining whether the holders of the requisite aggregate principal amount of the notes then outstanding have given any request, demand, authorization, direction, notice, consent or waiver under the indenture, any notes owned by us or any other obligor on the notes or any affiliate of ours or such other obligor shall be deemed not to be outstanding.</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Arial" w:cs="Arial" w:eastAsia="Arial" w:hAnsi="Arial"/>
          <w:sz w:val="18"/>
          <w:szCs w:val="18"/>
          <w:color w:val="auto"/>
        </w:rPr>
        <w:t>Upon our direction, the indenture shall cease to be of further effect (subject to the survival of certain provisions thereof) when (i) either (A) all notes then outstanding have been delivered to the trustee for cancellation (subject to certain exceptions) or (B) all notes then outstanding have become due and payable or will become due and payable at their stated maturity within one year or are to be called for redemption within one year and we have deposited with the trustee, in trust, money in an amount sufficient to pay the entire indebtedness on the notes in respect of principal, premium, if any, and interest to the date of such deposit (if the notes have become due and payable) or to the stated maturity or redemption date thereof, as the case may be, (ii) we have paid all other sums payable under the indenture, and (iii) certain other conditions are met.</w:t>
      </w:r>
    </w:p>
    <w:p>
      <w:pPr>
        <w:spacing w:after="0" w:line="129"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Subject to the satisfaction of certain conditions set forth in the indenture, we may elect either (a) to defease and be discharged from any and all obligations with respect to the notes (except for, among other things, the obligations to register the transfer or exchange of the notes, to replace temporary or mutilated, destroyed, lost or stolen notes, to maintain an office or agency in respect of the notes and to hold money for payment in trust) (“</w:t>
      </w:r>
      <w:r>
        <w:rPr>
          <w:rFonts w:ascii="Arial" w:cs="Arial" w:eastAsia="Arial" w:hAnsi="Arial"/>
          <w:sz w:val="17"/>
          <w:szCs w:val="17"/>
          <w:u w:val="single" w:color="auto"/>
          <w:color w:val="auto"/>
        </w:rPr>
        <w:t>defeasance</w:t>
      </w:r>
      <w:r>
        <w:rPr>
          <w:rFonts w:ascii="Arial" w:cs="Arial" w:eastAsia="Arial" w:hAnsi="Arial"/>
          <w:sz w:val="17"/>
          <w:szCs w:val="17"/>
          <w:color w:val="auto"/>
        </w:rPr>
        <w:t xml:space="preserve">”), or (b) to be released from our obligations with respect to the notes described above under “— </w:t>
      </w:r>
      <w:r>
        <w:rPr>
          <w:rFonts w:ascii="Arial" w:cs="Arial" w:eastAsia="Arial" w:hAnsi="Arial"/>
          <w:sz w:val="17"/>
          <w:szCs w:val="17"/>
          <w:u w:val="single" w:color="auto"/>
          <w:color w:val="auto"/>
        </w:rPr>
        <w:t>Restrictive Covenants</w:t>
      </w:r>
      <w:r>
        <w:rPr>
          <w:rFonts w:ascii="Arial" w:cs="Arial" w:eastAsia="Arial" w:hAnsi="Arial"/>
          <w:sz w:val="17"/>
          <w:szCs w:val="17"/>
          <w:color w:val="auto"/>
        </w:rPr>
        <w:t>” and certain other restrictive covenants in the indenture, and any omission to comply with such obligations shall not constitute a Default or an Event of Default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in either case upon the irrevocable deposit with the trustee (or other qualifying trustee), in trust for such purpose, of money and/or U.S. government obligations which through the payment of principal and interest in accordance with their terms will provide money, in an amount sufficient, in the opinion of a nationally-recognized firm of independent public accountants, investment bank or appraisal firm expressed in a written certification thereof delivered to the trustee, to pay the principal of and any premium and interest on the notes on the scheduled due dates therefor or the applicable redemption date, as the case may be. Such conditions to defeasance or covenant defeasance include the delivery to the trustee of an opinion of independent counsel in the United States to the effect that the beneficial owners of the notes then outstanding will not recognize income, gain or loss for federal income tax purposes as a result of such defeasance or covenant defeasance and will be subject to federal income tax on the same amounts, in the same manner and at the same times as would have been the case if such defeasance or covenant defeasance had not occurred.</w:t>
      </w:r>
    </w:p>
    <w:p>
      <w:pPr>
        <w:spacing w:after="0" w:line="107" w:lineRule="exact"/>
        <w:rPr>
          <w:sz w:val="20"/>
          <w:szCs w:val="20"/>
          <w:color w:val="auto"/>
        </w:rPr>
      </w:pPr>
    </w:p>
    <w:p>
      <w:pPr>
        <w:ind w:left="1260" w:right="499" w:firstLine="360"/>
        <w:spacing w:after="0" w:line="293" w:lineRule="auto"/>
        <w:rPr>
          <w:sz w:val="20"/>
          <w:szCs w:val="20"/>
          <w:color w:val="auto"/>
        </w:rPr>
      </w:pPr>
      <w:r>
        <w:rPr>
          <w:rFonts w:ascii="Arial" w:cs="Arial" w:eastAsia="Arial" w:hAnsi="Arial"/>
          <w:sz w:val="16"/>
          <w:szCs w:val="16"/>
          <w:color w:val="auto"/>
        </w:rPr>
        <w:t>In the event we effect covenant defeasance with respect to the notes and the notes are declared due and payable because of the occurrence of any Event of Default other than an Event of Default resulting from a breach of a covenant as to which there has been covenant defeasance, the amount of money and/or U.S. government obligations deposited with the trustee to effect such covenant defeasance may not be sufficient to pay amounts due on the notes at the time of any acceleration resulting from such Event of Default. However, we would remain liable to make payment of such amounts due at the time of acceleration.</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Trustee, Paying Agent and Security Registrar</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UMB Bank, NA will act as trustee, paying agent and security registrar for the notes. From time to time, we and some of our Subsidiaries may maintain deposit accounts and conduct other banking transactions, including lending transactions, with the trustee and its affiliates in the ordinary course of business. Upon the occurrence of a Default or an Event of Default under the notes, the trustee may be deemed to have a conflicting interest with respect to any of our other debt securities as to which it acts as trustee</w:t>
      </w:r>
    </w:p>
    <w:p>
      <w:pPr>
        <w:sectPr>
          <w:pgSz w:w="11900" w:h="16838" w:orient="portrait"/>
          <w:cols w:equalWidth="0" w:num="1">
            <w:col w:w="9879"/>
          </w:cols>
          <w:pgMar w:left="580" w:top="132"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color w:val="auto"/>
        </w:rPr>
        <w:t>and we are not in default for purposes of the TIA, and, accordingly, may be required to resign as trustee under the indenture. In that event, we would be required to appoint a successor trustee.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4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indenture is and the New Notes will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BOOK-ENTRY, DELIVERY AND FORM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Global Notes</w:t>
      </w:r>
    </w:p>
    <w:p>
      <w:pPr>
        <w:spacing w:after="0" w:line="148"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The New Notes will be issued in the form of one or more registered notes in global form, without interest coupons (the “</w:t>
      </w:r>
      <w:r>
        <w:rPr>
          <w:rFonts w:ascii="Arial" w:cs="Arial" w:eastAsia="Arial" w:hAnsi="Arial"/>
          <w:sz w:val="17"/>
          <w:szCs w:val="17"/>
          <w:u w:val="single" w:color="auto"/>
          <w:color w:val="auto"/>
        </w:rPr>
        <w:t>global notes</w:t>
      </w:r>
      <w:r>
        <w:rPr>
          <w:rFonts w:ascii="Arial" w:cs="Arial" w:eastAsia="Arial" w:hAnsi="Arial"/>
          <w:sz w:val="17"/>
          <w:szCs w:val="17"/>
          <w:color w:val="auto"/>
        </w:rPr>
        <w:t>”). Upon issuance, each of the global notes will be deposited with the trustee as custodian for DTC and registered in the name of Cede &amp; Co., as nominee of DTC.</w:t>
      </w:r>
    </w:p>
    <w:p>
      <w:pPr>
        <w:spacing w:after="0" w:line="96"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w:t>
      </w:r>
      <w:r>
        <w:rPr>
          <w:rFonts w:ascii="Arial" w:cs="Arial" w:eastAsia="Arial" w:hAnsi="Arial"/>
          <w:sz w:val="18"/>
          <w:szCs w:val="18"/>
          <w:u w:val="single" w:color="auto"/>
          <w:color w:val="auto"/>
        </w:rPr>
        <w:t>DTC participants</w:t>
      </w:r>
      <w:r>
        <w:rPr>
          <w:rFonts w:ascii="Arial" w:cs="Arial" w:eastAsia="Arial" w:hAnsi="Arial"/>
          <w:sz w:val="18"/>
          <w:szCs w:val="18"/>
          <w:color w:val="auto"/>
        </w:rPr>
        <w:t>”) or persons who hold interests through DTC participants. We expect that under procedures established by DTC:</w:t>
      </w:r>
    </w:p>
    <w:p>
      <w:pPr>
        <w:spacing w:after="0" w:line="74" w:lineRule="exact"/>
        <w:rPr>
          <w:sz w:val="20"/>
          <w:szCs w:val="20"/>
          <w:color w:val="auto"/>
        </w:rPr>
      </w:pPr>
    </w:p>
    <w:p>
      <w:pPr>
        <w:ind w:left="1800" w:right="599" w:hanging="180"/>
        <w:spacing w:after="0" w:line="308" w:lineRule="auto"/>
        <w:tabs>
          <w:tab w:leader="none" w:pos="1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deposit of each global note with DTC’s custodian, DTC will credit portions of the principal amount of the global note to the accounts of the DTC participants designated by the purchaser; and</w:t>
      </w:r>
    </w:p>
    <w:p>
      <w:pPr>
        <w:spacing w:after="0" w:line="38"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06"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Beneficial interests in the global notes may not be exchanged for notes in physical, certificated form except in the limited circumstances described below.</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Exchanges Among the Global Notes</w:t>
      </w:r>
    </w:p>
    <w:p>
      <w:pPr>
        <w:spacing w:after="0" w:line="162"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Beneficial interests in one global note may generally be exchanged for interests in another global note. The trustee may require the seller to provide certain written certifications in the form provided in the indenture and/or legal opinions.</w:t>
      </w:r>
    </w:p>
    <w:p>
      <w:pPr>
        <w:spacing w:after="0" w:line="114"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14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All interests in the global notes will be subject to the operations and procedures of DTC and, therefore, you must allow for sufficient time in order to comply with these procedures if you wish to exercise any of your rights with respect to the notes. We provide the following summaries of those operations and procedures solely for the convenience of investors. The operations and procedures of each settlement system are controlled by that settlement system and may be changed at any time. We are not responsible for those operations or procedures.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5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 -entry changes to the accounts of its participants. DTC’s participants include securities brokers and dealers;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76" w:lineRule="exact"/>
        <w:rPr>
          <w:sz w:val="20"/>
          <w:szCs w:val="20"/>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1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paying agent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25" w:lineRule="exact"/>
        <w:rPr>
          <w:sz w:val="20"/>
          <w:szCs w:val="20"/>
          <w:color w:val="auto"/>
        </w:rPr>
      </w:pPr>
    </w:p>
    <w:p>
      <w:pPr>
        <w:ind w:left="1260" w:right="799" w:firstLine="360"/>
        <w:spacing w:after="0" w:line="263"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Certificated Notes</w:t>
      </w:r>
    </w:p>
    <w:p>
      <w:pPr>
        <w:spacing w:after="0" w:line="162"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New Notes in physical, certificated form will be issued and delivered to each person that DTC identifies as a beneficial owner of the related notes only if:</w:t>
      </w:r>
    </w:p>
    <w:p>
      <w:pPr>
        <w:spacing w:after="0" w:line="62" w:lineRule="exact"/>
        <w:rPr>
          <w:sz w:val="20"/>
          <w:szCs w:val="20"/>
          <w:color w:val="auto"/>
        </w:rPr>
      </w:pPr>
    </w:p>
    <w:p>
      <w:pPr>
        <w:ind w:left="1800" w:right="79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and any participant requests a certificated note in accordance with DTC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exchange of Old Notes for New Notes pursuant to the exchange offer, as of the date hereof. This discussion does not address specific tax considerations that may be relevant to particular persons in light of their individual circumstances (including, for example, entities treated as partnerships for U.S. federal income tax purposes or partners or members therein, banks or other financial institutions, broker-dealers, insurance companies, regulated investment companies, tax-exempt entities, common trust funds, controlled foreign corporations, dealers in securities or currencies, and persons in special situations, such as those who hold New Notes as part of a straddle, synthetic security, conversion transaction, or other integrated investment comprising New Notes and one or more other investments). In addition, this discussion does not describe any tax considerations arising under U.S. federal gift, estate or other tax laws, or under the tax laws of any state, local or foreign jurisdiction. This discussion is based upon the Internal Revenue Code of 1986, as amended, the Treasury Department regulations promulgated thereunder, and administrative and judicial interpretations thereof, all as of the date hereof and all of which are subject to change, possibly with retroactive effect. Each holder is urged to consult its tax advisor regarding the U.S. federal, state, local and non-U.S. income and other tax considerations relating to the exchange of Old Notes for New Notes and relating to the acquisition, ownership and disposition of the New Notes.</w:t>
      </w:r>
    </w:p>
    <w:p>
      <w:pPr>
        <w:spacing w:after="0" w:line="112"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The exchange of an Old Note for a New Note pursuant to the exchange offer should not constitute a “significant modification” of the Old Note for U.S. federal income tax purposes and, accordingly, the New Note received by a holder should be treated as a continuation of the Old Note in the hands of such holder. As a result, there should be no U.S. federal income tax consequences to a holder who exchanges an Old Note for a New Note pursuant to the exchange offer and any such holder should have the same adjusted tax basis and holding period in the New Note as it had in the Old Note immediately before the exchange. A holder who does not exchange its Old Notes for New Notes pursuant to the exchange offer should not recognize any gain or loss, for U.S. federal income tax purposes, upon consummation of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us to that effect by so indicating on the letter of transmittal. To the extent that any notifying broker-dealer participates in the exchange offer, we will use our commercially reasonable efforts to maintain the effectiveness of this prospectus.</w:t>
      </w:r>
    </w:p>
    <w:p>
      <w:pPr>
        <w:spacing w:after="0" w:line="11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14"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Certain legal matters in connection with this offering will be passed upon for us by Skadden, Arps, Slate, Meagher &amp; Flom LLP, New York, New York, and Venable LLP, Baltimore, Maryland.</w:t>
      </w:r>
    </w:p>
    <w:p>
      <w:pPr>
        <w:spacing w:after="0" w:line="16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7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Arbor Realty Trust, Inc. and Subsidiaries appearing in Arbor Realty Trust, Inc.’s </w:t>
      </w:r>
      <w:hyperlink r:id="rId12">
        <w:r>
          <w:rPr>
            <w:rFonts w:ascii="Arial" w:cs="Arial" w:eastAsia="Arial" w:hAnsi="Arial"/>
            <w:sz w:val="18"/>
            <w:szCs w:val="18"/>
            <w:u w:val="single" w:color="auto"/>
            <w:color w:val="0000EE"/>
          </w:rPr>
          <w:t>Annual Report (Form 10-K) for the year ended December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(including the schedule appearing therein), and the effectiveness of Arbor Realty Trust, Inc. and Subsidiaries’ internal control over financial reporting as of December 31, 2020 have been audited by Ernst &amp; Young LLP, independent registered public accounting firm, as set forth in their reports thereon, included therein, and incorporated herein by reference which, as to the year 2020, is based in part on the report of Richey, May &amp; Co., LLP, independent registered public accounting firm. Such consolidated financial statements are incorporated herein by reference in reliance upon such reports given on the authority of such firms as experts in accounting and auditing.</w:t>
      </w:r>
    </w:p>
    <w:p>
      <w:pPr>
        <w:spacing w:after="0" w:line="19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at our website at www.arbor.com and at the SEC’s website at www.sec.gov. The information on our website is not, and you should not consider the information to be, a part of this prospectus.</w:t>
      </w:r>
    </w:p>
    <w:p>
      <w:pPr>
        <w:spacing w:after="0" w:line="183"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deemed to be part of this prospectus, except for any information superseded by information contained directly in this prospectus, any subsequently filed document deemed incorporated by reference or any free writing prospectus prepared by or on behalf of us. This prospectus incorporates by reference the documents set forth below that we have previously filed with the SEC (other than information deemed furnished and not filed in accordance with SEC rules, including Items 2.02 and 7.01 of Form 8-K):</w:t>
      </w:r>
    </w:p>
    <w:p>
      <w:pPr>
        <w:spacing w:after="0" w:line="84" w:lineRule="exact"/>
        <w:rPr>
          <w:sz w:val="20"/>
          <w:szCs w:val="20"/>
          <w:color w:val="auto"/>
        </w:rPr>
      </w:pPr>
    </w:p>
    <w:p>
      <w:pPr>
        <w:ind w:left="1800" w:hanging="180"/>
        <w:spacing w:after="0"/>
        <w:tabs>
          <w:tab w:leader="none" w:pos="1800" w:val="left"/>
        </w:tabs>
        <w:numPr>
          <w:ilvl w:val="0"/>
          <w:numId w:val="47"/>
        </w:numPr>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our Annual Report on Form 10-K for the year ended December 31, 2020;</w:t>
        </w:r>
      </w:hyperlink>
    </w:p>
    <w:p>
      <w:pPr>
        <w:spacing w:after="0" w:line="130" w:lineRule="exact"/>
        <w:rPr>
          <w:rFonts w:ascii="Arial" w:cs="Arial" w:eastAsia="Arial" w:hAnsi="Arial"/>
          <w:sz w:val="18"/>
          <w:szCs w:val="18"/>
          <w:u w:val="single" w:color="auto"/>
          <w:color w:val="0000EE"/>
        </w:rPr>
      </w:pPr>
    </w:p>
    <w:p>
      <w:pPr>
        <w:ind w:left="1800" w:hanging="180"/>
        <w:spacing w:after="0"/>
        <w:tabs>
          <w:tab w:leader="none" w:pos="1800" w:val="left"/>
        </w:tabs>
        <w:numPr>
          <w:ilvl w:val="0"/>
          <w:numId w:val="47"/>
        </w:numPr>
        <w:rPr>
          <w:rFonts w:ascii="Arial" w:cs="Arial" w:eastAsia="Arial" w:hAnsi="Arial"/>
          <w:sz w:val="18"/>
          <w:szCs w:val="18"/>
          <w:color w:val="0000EE"/>
        </w:rPr>
      </w:pPr>
      <w:hyperlink r:id="rId72">
        <w:r>
          <w:rPr>
            <w:rFonts w:ascii="Arial" w:cs="Arial" w:eastAsia="Arial" w:hAnsi="Arial"/>
            <w:sz w:val="18"/>
            <w:szCs w:val="18"/>
            <w:u w:val="single" w:color="auto"/>
            <w:color w:val="0000EE"/>
          </w:rPr>
          <w:t>our Quarterly Reports on Form 10-Q for the quarters ended March 31,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19">
        <w:r>
          <w:rPr>
            <w:rFonts w:ascii="Arial" w:cs="Arial" w:eastAsia="Arial" w:hAnsi="Arial"/>
            <w:sz w:val="18"/>
            <w:szCs w:val="18"/>
            <w:u w:val="single" w:color="auto"/>
            <w:color w:val="0000EE"/>
          </w:rPr>
          <w:t>June 30, 2021</w:t>
        </w:r>
      </w:hyperlink>
      <w:r>
        <w:rPr>
          <w:rFonts w:ascii="Arial" w:cs="Arial" w:eastAsia="Arial" w:hAnsi="Arial"/>
          <w:sz w:val="18"/>
          <w:szCs w:val="18"/>
          <w:color w:val="000000"/>
        </w:rPr>
        <w:t>;</w:t>
      </w:r>
    </w:p>
    <w:p>
      <w:pPr>
        <w:spacing w:after="0" w:line="117" w:lineRule="exact"/>
        <w:rPr>
          <w:rFonts w:ascii="Arial" w:cs="Arial" w:eastAsia="Arial" w:hAnsi="Arial"/>
          <w:sz w:val="18"/>
          <w:szCs w:val="18"/>
          <w:color w:val="0000EE"/>
        </w:rPr>
      </w:pPr>
    </w:p>
    <w:p>
      <w:pPr>
        <w:ind w:left="1800" w:right="459" w:hanging="180"/>
        <w:spacing w:after="0" w:line="263" w:lineRule="auto"/>
        <w:tabs>
          <w:tab w:leader="none" w:pos="1800" w:val="left"/>
        </w:tabs>
        <w:numPr>
          <w:ilvl w:val="0"/>
          <w:numId w:val="47"/>
        </w:numPr>
        <w:rPr>
          <w:rFonts w:ascii="Arial" w:cs="Arial" w:eastAsia="Arial" w:hAnsi="Arial"/>
          <w:sz w:val="18"/>
          <w:szCs w:val="18"/>
          <w:color w:val="0000EE"/>
        </w:rPr>
      </w:pPr>
      <w:hyperlink r:id="rId12">
        <w:r>
          <w:rPr>
            <w:rFonts w:ascii="Arial" w:cs="Arial" w:eastAsia="Arial" w:hAnsi="Arial"/>
            <w:sz w:val="18"/>
            <w:szCs w:val="18"/>
            <w:color w:val="auto"/>
          </w:rPr>
          <w:t xml:space="preserve">the information specifically incorporated by reference into our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year ended December 31, 2020</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 with the</w:t>
        </w:r>
      </w:hyperlink>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SEC on April 30, 2021</w:t>
        </w:r>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800" w:right="559" w:hanging="180"/>
        <w:spacing w:after="0" w:line="263" w:lineRule="auto"/>
        <w:tabs>
          <w:tab w:leader="none" w:pos="1800" w:val="left"/>
        </w:tabs>
        <w:numPr>
          <w:ilvl w:val="0"/>
          <w:numId w:val="47"/>
        </w:numPr>
        <w:rPr>
          <w:rFonts w:ascii="Arial" w:cs="Arial" w:eastAsia="Arial" w:hAnsi="Arial"/>
          <w:sz w:val="18"/>
          <w:szCs w:val="18"/>
          <w:color w:val="0000EE"/>
        </w:rPr>
      </w:pPr>
      <w:hyperlink r:id="rId74">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March 15,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30,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23,</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5">
        <w:r>
          <w:rPr>
            <w:rFonts w:ascii="Arial" w:cs="Arial" w:eastAsia="Arial" w:hAnsi="Arial"/>
            <w:sz w:val="18"/>
            <w:szCs w:val="18"/>
            <w:u w:val="single" w:color="auto"/>
            <w:color w:val="0000EE"/>
          </w:rPr>
          <w:t>May 4, 2021</w:t>
        </w:r>
      </w:hyperlink>
      <w:hyperlink r:id="rId7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6">
        <w:r>
          <w:rPr>
            <w:rFonts w:ascii="Arial" w:cs="Arial" w:eastAsia="Arial" w:hAnsi="Arial"/>
            <w:sz w:val="18"/>
            <w:szCs w:val="18"/>
            <w:u w:val="single" w:color="auto"/>
            <w:color w:val="0000EE"/>
          </w:rPr>
          <w:t>May 26, 2021</w:t>
        </w:r>
      </w:hyperlink>
      <w:hyperlink r:id="rId7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7">
        <w:r>
          <w:rPr>
            <w:rFonts w:ascii="Arial" w:cs="Arial" w:eastAsia="Arial" w:hAnsi="Arial"/>
            <w:sz w:val="18"/>
            <w:szCs w:val="18"/>
            <w:u w:val="single" w:color="auto"/>
            <w:color w:val="0000EE"/>
          </w:rPr>
          <w:t>May 27, 2021</w:t>
        </w:r>
      </w:hyperlink>
      <w:hyperlink r:id="rId7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8">
        <w:r>
          <w:rPr>
            <w:rFonts w:ascii="Arial" w:cs="Arial" w:eastAsia="Arial" w:hAnsi="Arial"/>
            <w:sz w:val="18"/>
            <w:szCs w:val="18"/>
            <w:u w:val="single" w:color="auto"/>
            <w:color w:val="0000EE"/>
          </w:rPr>
          <w:t>June 2, 2021</w:t>
        </w:r>
      </w:hyperlink>
      <w:hyperlink r:id="rId7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9">
        <w:r>
          <w:rPr>
            <w:rFonts w:ascii="Arial" w:cs="Arial" w:eastAsia="Arial" w:hAnsi="Arial"/>
            <w:sz w:val="18"/>
            <w:szCs w:val="18"/>
            <w:u w:val="single" w:color="auto"/>
            <w:color w:val="0000EE"/>
          </w:rPr>
          <w:t>June 10, 2021</w:t>
        </w:r>
      </w:hyperlink>
      <w:hyperlink r:id="rId74">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0">
        <w:r>
          <w:rPr>
            <w:rFonts w:ascii="Arial" w:cs="Arial" w:eastAsia="Arial" w:hAnsi="Arial"/>
            <w:sz w:val="18"/>
            <w:szCs w:val="18"/>
            <w:u w:val="single" w:color="auto"/>
            <w:color w:val="0000EE"/>
          </w:rPr>
          <w:t>June 17, 2021</w:t>
        </w:r>
      </w:hyperlink>
      <w:hyperlink r:id="rId74">
        <w:r>
          <w:rPr>
            <w:rFonts w:ascii="Arial" w:cs="Arial" w:eastAsia="Arial" w:hAnsi="Arial"/>
            <w:sz w:val="18"/>
            <w:szCs w:val="18"/>
            <w:color w:val="000000"/>
          </w:rPr>
          <w:t>,</w:t>
        </w:r>
      </w:hyperlink>
      <w:r>
        <w:rPr>
          <w:rFonts w:ascii="Arial" w:cs="Arial" w:eastAsia="Arial" w:hAnsi="Arial"/>
          <w:sz w:val="18"/>
          <w:szCs w:val="18"/>
          <w:color w:val="0000EE"/>
        </w:rPr>
        <w:t xml:space="preserve"> </w:t>
      </w:r>
      <w:hyperlink r:id="rId81">
        <w:r>
          <w:rPr>
            <w:rFonts w:ascii="Arial" w:cs="Arial" w:eastAsia="Arial" w:hAnsi="Arial"/>
            <w:sz w:val="18"/>
            <w:szCs w:val="18"/>
            <w:u w:val="single" w:color="auto"/>
            <w:color w:val="0000EE"/>
          </w:rPr>
          <w:t>June 25,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2">
        <w:r>
          <w:rPr>
            <w:rFonts w:ascii="Arial" w:cs="Arial" w:eastAsia="Arial" w:hAnsi="Arial"/>
            <w:sz w:val="18"/>
            <w:szCs w:val="18"/>
            <w:u w:val="single" w:color="auto"/>
            <w:color w:val="0000EE"/>
          </w:rPr>
          <w:t>June 28, 2021</w:t>
        </w:r>
      </w:hyperlink>
      <w:r>
        <w:rPr>
          <w:rFonts w:ascii="Arial" w:cs="Arial" w:eastAsia="Arial" w:hAnsi="Arial"/>
          <w:sz w:val="18"/>
          <w:szCs w:val="18"/>
          <w:color w:val="000000"/>
        </w:rPr>
        <w:t>.</w:t>
      </w:r>
    </w:p>
    <w:p>
      <w:pPr>
        <w:spacing w:after="0" w:line="103" w:lineRule="exact"/>
        <w:rPr>
          <w:rFonts w:ascii="Arial" w:cs="Arial" w:eastAsia="Arial" w:hAnsi="Arial"/>
          <w:sz w:val="18"/>
          <w:szCs w:val="18"/>
          <w:color w:val="0000EE"/>
        </w:rPr>
      </w:pPr>
    </w:p>
    <w:p>
      <w:pPr>
        <w:ind w:left="1260" w:right="419" w:firstLine="360"/>
        <w:spacing w:after="0" w:line="257" w:lineRule="auto"/>
        <w:rPr>
          <w:sz w:val="20"/>
          <w:szCs w:val="20"/>
          <w:color w:val="auto"/>
        </w:rPr>
      </w:pPr>
      <w:r>
        <w:rPr>
          <w:rFonts w:ascii="Arial" w:cs="Arial" w:eastAsia="Arial" w:hAnsi="Arial"/>
          <w:sz w:val="18"/>
          <w:szCs w:val="18"/>
          <w:color w:val="auto"/>
        </w:rPr>
        <w:t>All documents filed by us pursuant to Sections 13(a), 13(c), 14 or 15(d) of the Securities Exchange Act of 1934, as amended,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20" w:lineRule="exact"/>
        <w:rPr>
          <w:rFonts w:ascii="Arial" w:cs="Arial" w:eastAsia="Arial" w:hAnsi="Arial"/>
          <w:sz w:val="18"/>
          <w:szCs w:val="18"/>
          <w:color w:val="0000EE"/>
        </w:rPr>
      </w:pPr>
    </w:p>
    <w:p>
      <w:pPr>
        <w:ind w:left="1260" w:right="579" w:firstLine="360"/>
        <w:spacing w:after="0" w:line="254" w:lineRule="auto"/>
        <w:rPr>
          <w:sz w:val="20"/>
          <w:szCs w:val="20"/>
          <w:color w:val="auto"/>
        </w:rPr>
      </w:pPr>
      <w:r>
        <w:rPr>
          <w:rFonts w:ascii="Arial" w:cs="Arial" w:eastAsia="Arial" w:hAnsi="Arial"/>
          <w:sz w:val="18"/>
          <w:szCs w:val="18"/>
          <w:color w:val="auto"/>
        </w:rPr>
        <w:t>If requested, we will provide to each person, including any beneficial owner, to whom this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Arbor Realty Trust, Inc., 333 Earle Ovington Boulevard, Suite 900, Uniondale, New York, 11553, Attention: Secretary (telephone no.: (516) 506-4200).</w:t>
      </w:r>
    </w:p>
    <w:p>
      <w:pPr>
        <w:sectPr>
          <w:pgSz w:w="11900" w:h="16838" w:orient="portrait"/>
          <w:cols w:equalWidth="0" w:num="1">
            <w:col w:w="9879"/>
          </w:cols>
          <w:pgMar w:left="580" w:top="132" w:right="1440" w:bottom="1440" w:gutter="0" w:footer="0" w:header="0"/>
        </w:sectPr>
      </w:pPr>
    </w:p>
    <w:p>
      <w:pPr>
        <w:spacing w:after="0" w:line="370" w:lineRule="exact"/>
        <w:rPr>
          <w:rFonts w:ascii="Arial" w:cs="Arial" w:eastAsia="Arial" w:hAnsi="Arial"/>
          <w:sz w:val="18"/>
          <w:szCs w:val="18"/>
          <w:color w:val="0000EE"/>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firstLine="360"/>
        <w:spacing w:after="0" w:line="259" w:lineRule="auto"/>
        <w:rPr>
          <w:sz w:val="20"/>
          <w:szCs w:val="20"/>
          <w:color w:val="auto"/>
        </w:rPr>
      </w:pPr>
      <w:r>
        <w:rPr>
          <w:rFonts w:ascii="Arial" w:cs="Arial" w:eastAsia="Arial" w:hAnsi="Arial"/>
          <w:sz w:val="18"/>
          <w:szCs w:val="18"/>
          <w:color w:val="auto"/>
        </w:rPr>
        <w:t>To ensure timely delivery of any requested information, holders of the Old Notes must make any request no later than August 19, 2021, which is five business days before the expiration date of the exchange offer, or, if we decide to extend the expiration date of the exchange offer, no later than five business days before such extended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2"/>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Letter"/>
      <w:start w:val="1"/>
    </w:lvl>
  </w:abstractNum>
  <w:abstractNum w:abstractNumId="24">
    <w:nsid w:val="5072367"/>
    <w:multiLevelType w:val="hybridMultilevel"/>
    <w:lvl w:ilvl="0">
      <w:lvlJc w:val="left"/>
      <w:lvlText w:val="%1."/>
      <w:numFmt w:val="lowerLetter"/>
      <w:start w:val="2"/>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Letter"/>
      <w:start w:val="25"/>
    </w:lvl>
  </w:abstractNum>
  <w:abstractNum w:abstractNumId="27">
    <w:nsid w:val="7724C67E"/>
    <w:multiLevelType w:val="hybridMultilevel"/>
    <w:lvl w:ilvl="0">
      <w:lvlJc w:val="left"/>
      <w:lvlText w:val="(%1)"/>
      <w:numFmt w:val="lowerRoman"/>
      <w:start w:val="4"/>
    </w:lvl>
  </w:abstractNum>
  <w:abstractNum w:abstractNumId="28">
    <w:nsid w:val="5C482A97"/>
    <w:multiLevelType w:val="hybridMultilevel"/>
    <w:lvl w:ilvl="0">
      <w:lvlJc w:val="left"/>
      <w:lvlText w:val="(%1)"/>
      <w:numFmt w:val="lowerRoman"/>
      <w:start w:val="2"/>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Letter"/>
      <w:start w:val="2"/>
    </w:lvl>
  </w:abstractNum>
  <w:abstractNum w:abstractNumId="31">
    <w:nsid w:val="51EAD36B"/>
    <w:multiLevelType w:val="hybridMultilevel"/>
    <w:lvl w:ilvl="0">
      <w:lvlJc w:val="left"/>
      <w:lvlText w:val="(%1)"/>
      <w:numFmt w:val="lowerLetter"/>
      <w:start w:val="5"/>
    </w:lvl>
  </w:abstractNum>
  <w:abstractNum w:abstractNumId="32">
    <w:nsid w:val="2D517796"/>
    <w:multiLevelType w:val="hybridMultilevel"/>
    <w:lvl w:ilvl="0">
      <w:lvlJc w:val="left"/>
      <w:lvlText w:val="(%1)"/>
      <w:numFmt w:val="lowerLetter"/>
      <w:start w:val="2"/>
    </w:lvl>
  </w:abstractNum>
  <w:abstractNum w:abstractNumId="33">
    <w:nsid w:val="580BD78F"/>
    <w:multiLevelType w:val="hybridMultilevel"/>
    <w:lvl w:ilvl="0">
      <w:lvlJc w:val="left"/>
      <w:lvlText w:val="(%1)"/>
      <w:numFmt w:val="lowerLetter"/>
      <w:start w:val="4"/>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1)"/>
      <w:numFmt w:val="lowerRoman"/>
      <w:start w:val="1"/>
    </w:lvl>
  </w:abstractNum>
  <w:abstractNum w:abstractNumId="39">
    <w:nsid w:val="1D4ED43B"/>
    <w:multiLevelType w:val="hybridMultilevel"/>
    <w:lvl w:ilvl="0">
      <w:lvlJc w:val="left"/>
      <w:lvlText w:val="(%1)"/>
      <w:numFmt w:val="lowerLetter"/>
      <w:start w:val="24"/>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12" Type="http://schemas.openxmlformats.org/officeDocument/2006/relationships/hyperlink" Target="http://www.sec.gov/ix?doc=/Archives/edgar/data/1253986/000110465921025551/abr-20201231x10k.htm" TargetMode="External"/><Relationship Id="rId19" Type="http://schemas.openxmlformats.org/officeDocument/2006/relationships/hyperlink" Target="http://www.sec.gov/ix?doc=/Archives/edgar/data/1253986/000110465921097979/abr-20210630x10q.htm" TargetMode="External"/><Relationship Id="rId35" Type="http://schemas.openxmlformats.org/officeDocument/2006/relationships/hyperlink" Target="https://www.sec.gov/ix?doc=/Archives/edgar/data/1253986/000110465921097979/abr-20210630x10q.htm" TargetMode="External"/><Relationship Id="rId72" Type="http://schemas.openxmlformats.org/officeDocument/2006/relationships/hyperlink" Target="http://www.sec.gov/ix?doc=/Archives/edgar/data/1253986/000110465921062802/abr-20210331x10q.htm" TargetMode="External"/><Relationship Id="rId73" Type="http://schemas.openxmlformats.org/officeDocument/2006/relationships/hyperlink" Target="http://www.sec.gov/Archives/edgar/data/1253986/000110465921059078/tm212597-1_def14a.htm" TargetMode="External"/><Relationship Id="rId74" Type="http://schemas.openxmlformats.org/officeDocument/2006/relationships/hyperlink" Target="http://www.sec.gov/ix?doc=/Archives/edgar/data/1253986/000110465921054520/tm2113879d1_8k.htm" TargetMode="External"/><Relationship Id="rId75" Type="http://schemas.openxmlformats.org/officeDocument/2006/relationships/hyperlink" Target="http://www.sec.gov/ix?doc=/Archives/edgar/data/1253986/000110465921060973/tm2115050d1_8k.htm" TargetMode="External"/><Relationship Id="rId76" Type="http://schemas.openxmlformats.org/officeDocument/2006/relationships/hyperlink" Target="http://www.sec.gov/ix?doc=/Archives/edgar/data/1253986/000110465921072497/tm2117594d2_8k.htm" TargetMode="External"/><Relationship Id="rId77" Type="http://schemas.openxmlformats.org/officeDocument/2006/relationships/hyperlink" Target="http://www.sec.gov/ix?doc=/Archives/edgar/data/1253986/000110465921073204/tm2117594d1_8k.htm" TargetMode="External"/><Relationship Id="rId78" Type="http://schemas.openxmlformats.org/officeDocument/2006/relationships/hyperlink" Target="http://www.sec.gov/ix?doc=/Archives/edgar/data/1253986/000110465921075758/tm2117390d4_8k.htm" TargetMode="External"/><Relationship Id="rId79" Type="http://schemas.openxmlformats.org/officeDocument/2006/relationships/hyperlink" Target="http://www.sec.gov/ix?doc=/Archives/edgar/data/1253986/000110465921079509/tm2119389d1_8k.htm" TargetMode="External"/><Relationship Id="rId80" Type="http://schemas.openxmlformats.org/officeDocument/2006/relationships/hyperlink" Target="http://www.sec.gov/ix?doc=/Archives/edgar/data/1253986/000110465921082581/tm2119644d3_8k.htm" TargetMode="External"/><Relationship Id="rId81" Type="http://schemas.openxmlformats.org/officeDocument/2006/relationships/hyperlink" Target="https://www.sec.gov/ix?doc=/Archives/edgar/data/1253986/000110465921085720/tm2120676d1_8k.htm" TargetMode="External"/><Relationship Id="rId82" Type="http://schemas.openxmlformats.org/officeDocument/2006/relationships/hyperlink" Target="https://www.sec.gov/ix?doc=/Archives/edgar/data/1253986/000110465921086259/tm2120676d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2021-07-30T16:20:05Z</dcterms:created>
  <dcterms:modified xsi:type="dcterms:W3CDTF">2021-07-30T16:20:05Z</dcterms:modified>
</cp:coreProperties>
</file>