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835-1_4seq1.xml.htm"/>
      <w:bookmarkStart w:id="1" w:name="kstm262683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Bacon has elected to defer his cash compensation earned in 2026 for his service as a director until January 2028, or sooner upon a change in control or his service as a director is terminated, pursuant to a pre-established deferral election. Therefore, Mr. Bacon received 6,029 fully vested Restricted Stock Units of Arbor Realty Trust, Inc. (the "Company") on September 30, 2026 (the date the Company paid out the cash compensation to its directors), pursuant to the terms of the director deferred compensation plan, in lieu of his cash compensation earned.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Attomey-in-Fact for Kenneth J.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17"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3628</Characters>
  <CharactersWithSpaces>4233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