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9809d1_8k.htm"/>
      <w:bookmarkStart w:id="1" w:name="kstm2619809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9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70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8_edei--EntityRegistrantName_c2026"/>
      <w:bookmarkEnd w:id="4"/>
      <w:r>
        <w:rPr>
          <w:rFonts w:ascii="Times New Roman;Times;Serif" w:hAnsi="Times New Roman;Times;Serif"/>
          <w:b/>
          <w:i w:val="false"/>
          <w:caps w:val="false"/>
          <w:smallCaps w:val="false"/>
          <w:sz w:val="28"/>
        </w:rPr>
        <w:t>Arbor Realty Trust,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xdx_90A_edei--EntityIncorporationStateCo"/>
      <w:bookmarkEnd w:id="5"/>
      <w:r>
        <w:rPr>
          <w:rFonts w:ascii="Times New Roman;Times;Serif" w:hAnsi="Times New Roman;Times;Serif"/>
          <w:b/>
          <w:i w:val="false"/>
          <w:caps/>
          <w:sz w:val="20"/>
        </w:rPr>
        <w:t>maryland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p>
      <w:pPr>
        <w:pStyle w:val="TextBody"/>
        <w:bidi w:val="0"/>
        <w:spacing w:before="0" w:after="0"/>
        <w:jc w:val="center"/>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5480"/>
        <w:gridCol w:w="2720"/>
      </w:tblGrid>
      <w:tr>
        <w:trPr/>
        <w:tc>
          <w:tcPr>
            <w:tcW w:w="5480" w:type="dxa"/>
            <w:tcBorders/>
            <w:vAlign w:val="center"/>
          </w:tcPr>
          <w:p>
            <w:pPr>
              <w:pStyle w:val="TableContents"/>
              <w:bidi w:val="0"/>
              <w:spacing w:before="0" w:after="283"/>
              <w:jc w:val="center"/>
              <w:rPr>
                <w:sz w:val="20"/>
              </w:rPr>
            </w:pPr>
            <w:bookmarkStart w:id="6" w:name="xdx_907_edei--EntityFileNumber_c20260706"/>
            <w:bookmarkEnd w:id="6"/>
            <w:r>
              <w:rPr>
                <w:rFonts w:ascii="Times New Roman;Times;Serif" w:hAnsi="Times New Roman;Times;Serif"/>
                <w:b/>
                <w:sz w:val="20"/>
              </w:rPr>
              <w:t>001-32136</w:t>
            </w:r>
            <w:r>
              <w:rPr>
                <w:sz w:val="20"/>
              </w:rPr>
              <w:t> </w:t>
            </w:r>
          </w:p>
        </w:tc>
        <w:tc>
          <w:tcPr>
            <w:tcW w:w="2720"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20-0057959</w:t>
            </w:r>
          </w:p>
        </w:tc>
      </w:tr>
      <w:tr>
        <w:trPr/>
        <w:tc>
          <w:tcPr>
            <w:tcW w:w="54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 </w:t>
            </w:r>
          </w:p>
        </w:tc>
        <w:tc>
          <w:tcPr>
            <w:tcW w:w="27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 NUMBER)</w:t>
            </w:r>
          </w:p>
        </w:tc>
      </w:tr>
      <w:tr>
        <w:trPr/>
        <w:tc>
          <w:tcPr>
            <w:tcW w:w="5480" w:type="dxa"/>
            <w:tcBorders/>
            <w:vAlign w:val="center"/>
          </w:tcPr>
          <w:p>
            <w:pPr>
              <w:pStyle w:val="TableContents"/>
              <w:bidi w:val="0"/>
              <w:spacing w:before="0" w:after="283"/>
              <w:jc w:val="center"/>
              <w:rPr/>
            </w:pPr>
            <w:r>
              <w:rPr/>
              <w:t> </w:t>
            </w:r>
          </w:p>
        </w:tc>
        <w:tc>
          <w:tcPr>
            <w:tcW w:w="2720" w:type="dxa"/>
            <w:tcBorders/>
            <w:vAlign w:val="center"/>
          </w:tcPr>
          <w:p>
            <w:pPr>
              <w:pStyle w:val="TableContents"/>
              <w:bidi w:val="0"/>
              <w:spacing w:before="0" w:after="283"/>
              <w:jc w:val="center"/>
              <w:rPr/>
            </w:pPr>
            <w:r>
              <w:rPr/>
              <w:t> </w:t>
            </w:r>
          </w:p>
        </w:tc>
      </w:tr>
      <w:tr>
        <w:trPr/>
        <w:tc>
          <w:tcPr>
            <w:tcW w:w="5480" w:type="dxa"/>
            <w:tcBorders/>
            <w:vAlign w:val="center"/>
          </w:tcPr>
          <w:p>
            <w:pPr>
              <w:pStyle w:val="TableContents"/>
              <w:bidi w:val="0"/>
              <w:spacing w:before="0" w:after="283"/>
              <w:jc w:val="center"/>
              <w:rPr/>
            </w:pPr>
            <w:bookmarkStart w:id="8" w:name="xdx_909_edei--EntityAddressAddressLine1_"/>
            <w:bookmarkEnd w:id="8"/>
            <w:r>
              <w:rPr>
                <w:b/>
              </w:rPr>
              <w:t xml:space="preserve">333 </w:t>
            </w:r>
            <w:bookmarkStart w:id="9" w:name="xdx_902_edei--EntityAddressAddressLine2_"/>
            <w:bookmarkEnd w:id="9"/>
            <w:r>
              <w:rPr>
                <w:b/>
              </w:rPr>
              <w:t xml:space="preserve">Earle Ovington Boulevard, </w:t>
            </w:r>
            <w:bookmarkStart w:id="10" w:name="xdx_909_edei--EntityAddressAddressLine3_"/>
            <w:bookmarkEnd w:id="10"/>
            <w:r>
              <w:rPr>
                <w:b/>
              </w:rPr>
              <w:t>Suite 900</w:t>
            </w:r>
          </w:p>
        </w:tc>
        <w:tc>
          <w:tcPr>
            <w:tcW w:w="2720" w:type="dxa"/>
            <w:tcBorders/>
            <w:vAlign w:val="center"/>
          </w:tcPr>
          <w:p>
            <w:pPr>
              <w:pStyle w:val="TableContents"/>
              <w:bidi w:val="0"/>
              <w:spacing w:before="0" w:after="283"/>
              <w:jc w:val="center"/>
              <w:rPr/>
            </w:pPr>
            <w:r>
              <w:rPr/>
              <w:t> </w:t>
            </w:r>
          </w:p>
        </w:tc>
      </w:tr>
      <w:tr>
        <w:trPr/>
        <w:tc>
          <w:tcPr>
            <w:tcW w:w="5480" w:type="dxa"/>
            <w:tcBorders/>
            <w:vAlign w:val="center"/>
          </w:tcPr>
          <w:p>
            <w:pPr>
              <w:pStyle w:val="TableContents"/>
              <w:bidi w:val="0"/>
              <w:spacing w:before="0" w:after="283"/>
              <w:jc w:val="center"/>
              <w:rPr/>
            </w:pPr>
            <w:bookmarkStart w:id="11" w:name="xdx_904_edei--EntityAddressCityOrTown_c2"/>
            <w:bookmarkEnd w:id="11"/>
            <w:r>
              <w:rPr>
                <w:rFonts w:ascii="Times New Roman;Times;Serif" w:hAnsi="Times New Roman;Times;Serif"/>
                <w:b/>
              </w:rPr>
              <w:t xml:space="preserve">Uniondale, </w:t>
            </w:r>
            <w:bookmarkStart w:id="12" w:name="xdx_90D_edei--EntityAddressStateOrProvin"/>
            <w:bookmarkEnd w:id="12"/>
            <w:r>
              <w:rPr>
                <w:rFonts w:ascii="Times New Roman;Times;Serif" w:hAnsi="Times New Roman;Times;Serif"/>
                <w:b/>
              </w:rPr>
              <w:t>New York</w:t>
            </w:r>
          </w:p>
        </w:tc>
        <w:tc>
          <w:tcPr>
            <w:tcW w:w="2720" w:type="dxa"/>
            <w:tcBorders/>
            <w:vAlign w:val="center"/>
          </w:tcPr>
          <w:p>
            <w:pPr>
              <w:pStyle w:val="TableContents"/>
              <w:bidi w:val="0"/>
              <w:spacing w:before="0" w:after="283"/>
              <w:jc w:val="center"/>
              <w:rPr>
                <w:b/>
              </w:rPr>
            </w:pPr>
            <w:bookmarkStart w:id="13" w:name="xdx_908_edei--EntityAddressPostalZipCode"/>
            <w:bookmarkEnd w:id="13"/>
            <w:r>
              <w:rPr>
                <w:b/>
              </w:rPr>
              <w:t>11553</w:t>
            </w:r>
          </w:p>
        </w:tc>
      </w:tr>
      <w:tr>
        <w:trPr/>
        <w:tc>
          <w:tcPr>
            <w:tcW w:w="5480" w:type="dxa"/>
            <w:tcBorders/>
            <w:vAlign w:val="center"/>
          </w:tcPr>
          <w:p>
            <w:pPr>
              <w:pStyle w:val="TableContents"/>
              <w:bidi w:val="0"/>
              <w:spacing w:before="0" w:after="283"/>
              <w:jc w:val="center"/>
              <w:rPr/>
            </w:pPr>
            <w:r>
              <w:rPr/>
              <w:t>(ADDRESS OF PRINCIPAL EXECUTIVE OFFICES)</w:t>
            </w:r>
          </w:p>
        </w:tc>
        <w:tc>
          <w:tcPr>
            <w:tcW w:w="2720" w:type="dxa"/>
            <w:tcBorders/>
            <w:vAlign w:val="center"/>
          </w:tcPr>
          <w:p>
            <w:pPr>
              <w:pStyle w:val="TableContents"/>
              <w:bidi w:val="0"/>
              <w:spacing w:before="0" w:after="283"/>
              <w:jc w:val="center"/>
              <w:rPr/>
            </w:pPr>
            <w:r>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4" w:name="xdx_90F_edei--CityAreaCode_c20260706__20"/>
      <w:bookmarkEnd w:id="14"/>
      <w:r>
        <w:rPr>
          <w:rFonts w:ascii="Times New Roman;Times;Serif" w:hAnsi="Times New Roman;Times;Serif"/>
          <w:b/>
          <w:i w:val="false"/>
          <w:caps w:val="false"/>
          <w:smallCaps w:val="false"/>
          <w:sz w:val="20"/>
        </w:rPr>
        <w:t xml:space="preserve">516) </w:t>
      </w:r>
      <w:bookmarkStart w:id="15" w:name="xdx_90D_edei--LocalPhoneNumber_c20260706"/>
      <w:bookmarkEnd w:id="15"/>
      <w:r>
        <w:rPr>
          <w:rFonts w:ascii="Times New Roman;Times;Serif" w:hAnsi="Times New Roman;Times;Serif"/>
          <w:b/>
          <w:i w:val="false"/>
          <w:caps w:val="false"/>
          <w:smallCaps w:val="false"/>
          <w:sz w:val="20"/>
        </w:rPr>
        <w:t>506-4200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5_edei--WrittenCommunications_c202"/>
            <w:bookmarkEnd w:id="16"/>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7" w:name="xdx_905_edei--SolicitingMaterial_c202607"/>
            <w:bookmarkEnd w:id="17"/>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8" w:name="xdx_905_edei--PreCommencementTenderOffer"/>
            <w:bookmarkEnd w:id="18"/>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9" w:name="xdx_904_edei--PreCommencementIssuerTende"/>
            <w:bookmarkEnd w:id="19"/>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83"/>
        <w:gridCol w:w="60"/>
        <w:gridCol w:w="1295"/>
        <w:gridCol w:w="60"/>
        <w:gridCol w:w="2707"/>
      </w:tblGrid>
      <w:tr>
        <w:trPr/>
        <w:tc>
          <w:tcPr>
            <w:tcW w:w="6083" w:type="dxa"/>
            <w:tcBorders>
              <w:bottom w:val="single" w:sz="8" w:space="0" w:color="000000"/>
            </w:tcBorders>
            <w:vAlign w:val="center"/>
          </w:tcPr>
          <w:p>
            <w:pPr>
              <w:pStyle w:val="TableContents"/>
              <w:bidi w:val="0"/>
              <w:spacing w:before="0" w:after="283"/>
              <w:jc w:val="left"/>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95"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707"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083" w:type="dxa"/>
            <w:tcBorders/>
            <w:tcMar>
              <w:bottom w:w="0" w:type="dxa"/>
            </w:tcMar>
            <w:vAlign w:val="center"/>
          </w:tcPr>
          <w:p>
            <w:pPr>
              <w:pStyle w:val="TableContents"/>
              <w:bidi w:val="0"/>
              <w:spacing w:before="0" w:after="283"/>
              <w:jc w:val="left"/>
              <w:rPr>
                <w:sz w:val="20"/>
              </w:rPr>
            </w:pPr>
            <w:bookmarkStart w:id="20" w:name="xdx_901_edei--Security12bTitle_c20260706"/>
            <w:bookmarkEnd w:id="20"/>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sz w:val="20"/>
              </w:rPr>
            </w:pPr>
            <w:bookmarkStart w:id="21" w:name="xdx_90E_edei--TradingSymbol_c20260706__2"/>
            <w:bookmarkEnd w:id="21"/>
            <w:r>
              <w:rPr>
                <w:sz w:val="20"/>
              </w:rPr>
              <w:t>ABR</w:t>
            </w:r>
          </w:p>
        </w:tc>
        <w:tc>
          <w:tcPr>
            <w:tcW w:w="60" w:type="dxa"/>
            <w:tcBorders/>
            <w:tcMar>
              <w:bottom w:w="0" w:type="dxa"/>
            </w:tcMar>
            <w:vAlign w:val="center"/>
          </w:tcPr>
          <w:p>
            <w:pPr>
              <w:pStyle w:val="TableContents"/>
              <w:bidi w:val="0"/>
              <w:spacing w:before="0" w:after="283"/>
              <w:jc w:val="left"/>
              <w:rPr/>
            </w:pPr>
            <w:r>
              <w:rPr/>
              <w:t> </w:t>
            </w:r>
          </w:p>
        </w:tc>
        <w:tc>
          <w:tcPr>
            <w:tcW w:w="2707" w:type="dxa"/>
            <w:tcBorders/>
            <w:tcMar>
              <w:bottom w:w="0" w:type="dxa"/>
            </w:tcMar>
            <w:vAlign w:val="center"/>
          </w:tcPr>
          <w:p>
            <w:pPr>
              <w:pStyle w:val="TableContents"/>
              <w:bidi w:val="0"/>
              <w:spacing w:before="0" w:after="283"/>
              <w:jc w:val="center"/>
              <w:rPr>
                <w:sz w:val="20"/>
              </w:rPr>
            </w:pPr>
            <w:bookmarkStart w:id="22" w:name="xdx_90D_edei--SecurityExchangeName_c2026"/>
            <w:bookmarkEnd w:id="22"/>
            <w:r>
              <w:rPr>
                <w:sz w:val="20"/>
              </w:rPr>
              <w:t>New York Stock Exchange</w:t>
            </w:r>
          </w:p>
        </w:tc>
      </w:tr>
      <w:tr>
        <w:trPr/>
        <w:tc>
          <w:tcPr>
            <w:tcW w:w="6083" w:type="dxa"/>
            <w:tcBorders/>
            <w:tcMar>
              <w:bottom w:w="0" w:type="dxa"/>
            </w:tcMar>
            <w:vAlign w:val="center"/>
          </w:tcPr>
          <w:p>
            <w:pPr>
              <w:pStyle w:val="TableContents"/>
              <w:bidi w:val="0"/>
              <w:spacing w:before="0" w:after="283"/>
              <w:jc w:val="left"/>
              <w:rPr>
                <w:sz w:val="20"/>
              </w:rPr>
            </w:pPr>
            <w:bookmarkStart w:id="23" w:name="xdx_908_edei--Security12bTitle_c20260706"/>
            <w:bookmarkEnd w:id="23"/>
            <w:r>
              <w:rPr>
                <w:sz w:val="20"/>
              </w:rPr>
              <w:t>Preferred Stock, 6.375% Series D Cumulative Redeemable, par value $0.01 per share</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sz w:val="20"/>
              </w:rPr>
            </w:pPr>
            <w:bookmarkStart w:id="24" w:name="xdx_90A_edei--TradingSymbol_c20260706__2"/>
            <w:bookmarkEnd w:id="24"/>
            <w:r>
              <w:rPr>
                <w:sz w:val="20"/>
              </w:rPr>
              <w:t>ABR-PD</w:t>
            </w:r>
          </w:p>
        </w:tc>
        <w:tc>
          <w:tcPr>
            <w:tcW w:w="60" w:type="dxa"/>
            <w:tcBorders/>
            <w:tcMar>
              <w:bottom w:w="0" w:type="dxa"/>
            </w:tcMar>
            <w:vAlign w:val="center"/>
          </w:tcPr>
          <w:p>
            <w:pPr>
              <w:pStyle w:val="TableContents"/>
              <w:bidi w:val="0"/>
              <w:spacing w:before="0" w:after="283"/>
              <w:jc w:val="left"/>
              <w:rPr/>
            </w:pPr>
            <w:r>
              <w:rPr/>
              <w:t> </w:t>
            </w:r>
          </w:p>
        </w:tc>
        <w:tc>
          <w:tcPr>
            <w:tcW w:w="2707" w:type="dxa"/>
            <w:tcBorders/>
            <w:tcMar>
              <w:bottom w:w="0" w:type="dxa"/>
            </w:tcMar>
            <w:vAlign w:val="center"/>
          </w:tcPr>
          <w:p>
            <w:pPr>
              <w:pStyle w:val="TableContents"/>
              <w:bidi w:val="0"/>
              <w:spacing w:before="0" w:after="283"/>
              <w:jc w:val="center"/>
              <w:rPr>
                <w:sz w:val="20"/>
              </w:rPr>
            </w:pPr>
            <w:bookmarkStart w:id="25" w:name="xdx_90D_edei--SecurityExchangeName_c2026"/>
            <w:bookmarkEnd w:id="25"/>
            <w:r>
              <w:rPr>
                <w:sz w:val="20"/>
              </w:rPr>
              <w:t>New York Stock Exchange</w:t>
            </w:r>
          </w:p>
        </w:tc>
      </w:tr>
      <w:tr>
        <w:trPr/>
        <w:tc>
          <w:tcPr>
            <w:tcW w:w="6083" w:type="dxa"/>
            <w:tcBorders/>
            <w:tcMar>
              <w:bottom w:w="0" w:type="dxa"/>
            </w:tcMar>
            <w:vAlign w:val="center"/>
          </w:tcPr>
          <w:p>
            <w:pPr>
              <w:pStyle w:val="TableContents"/>
              <w:bidi w:val="0"/>
              <w:spacing w:before="0" w:after="283"/>
              <w:jc w:val="left"/>
              <w:rPr>
                <w:sz w:val="20"/>
              </w:rPr>
            </w:pPr>
            <w:bookmarkStart w:id="26" w:name="xdx_90D_edei--Security12bTitle_c20260706"/>
            <w:bookmarkEnd w:id="26"/>
            <w:r>
              <w:rPr>
                <w:sz w:val="20"/>
              </w:rPr>
              <w:t>Preferred Stock, 6.25% Series E Cumulative Redeemable, par value $0.01 per share</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sz w:val="20"/>
              </w:rPr>
            </w:pPr>
            <w:bookmarkStart w:id="27" w:name="xdx_902_edei--TradingSymbol_c20260706__2"/>
            <w:bookmarkEnd w:id="27"/>
            <w:r>
              <w:rPr>
                <w:sz w:val="20"/>
              </w:rPr>
              <w:t>ABR-PE</w:t>
            </w:r>
          </w:p>
        </w:tc>
        <w:tc>
          <w:tcPr>
            <w:tcW w:w="60" w:type="dxa"/>
            <w:tcBorders/>
            <w:tcMar>
              <w:bottom w:w="0" w:type="dxa"/>
            </w:tcMar>
            <w:vAlign w:val="center"/>
          </w:tcPr>
          <w:p>
            <w:pPr>
              <w:pStyle w:val="TableContents"/>
              <w:bidi w:val="0"/>
              <w:spacing w:before="0" w:after="283"/>
              <w:jc w:val="left"/>
              <w:rPr/>
            </w:pPr>
            <w:r>
              <w:rPr/>
              <w:t> </w:t>
            </w:r>
          </w:p>
        </w:tc>
        <w:tc>
          <w:tcPr>
            <w:tcW w:w="2707" w:type="dxa"/>
            <w:tcBorders/>
            <w:tcMar>
              <w:bottom w:w="0" w:type="dxa"/>
            </w:tcMar>
            <w:vAlign w:val="center"/>
          </w:tcPr>
          <w:p>
            <w:pPr>
              <w:pStyle w:val="TableContents"/>
              <w:bidi w:val="0"/>
              <w:spacing w:before="0" w:after="283"/>
              <w:jc w:val="center"/>
              <w:rPr>
                <w:sz w:val="20"/>
              </w:rPr>
            </w:pPr>
            <w:bookmarkStart w:id="28" w:name="xdx_907_edei--SecurityExchangeName_c2026"/>
            <w:bookmarkEnd w:id="28"/>
            <w:r>
              <w:rPr>
                <w:sz w:val="20"/>
              </w:rPr>
              <w:t>New York Stock Exchange</w:t>
            </w:r>
          </w:p>
        </w:tc>
      </w:tr>
      <w:tr>
        <w:trPr/>
        <w:tc>
          <w:tcPr>
            <w:tcW w:w="6083" w:type="dxa"/>
            <w:tcBorders/>
            <w:tcMar>
              <w:bottom w:w="0" w:type="dxa"/>
            </w:tcMar>
            <w:vAlign w:val="center"/>
          </w:tcPr>
          <w:p>
            <w:pPr>
              <w:pStyle w:val="TableContents"/>
              <w:bidi w:val="0"/>
              <w:spacing w:before="0" w:after="283"/>
              <w:jc w:val="left"/>
              <w:rPr>
                <w:sz w:val="20"/>
              </w:rPr>
            </w:pPr>
            <w:bookmarkStart w:id="29" w:name="xdx_900_edei--Security12bTitle_c20260706"/>
            <w:bookmarkEnd w:id="29"/>
            <w:r>
              <w:rPr>
                <w:sz w:val="20"/>
              </w:rPr>
              <w:t>Preferred Stock, 6.25% Series F Fixed-to-Floating Rate Cumulative Redeemable, par value $0.01 per share</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sz w:val="20"/>
              </w:rPr>
            </w:pPr>
            <w:bookmarkStart w:id="30" w:name="xdx_904_edei--TradingSymbol_c20260706__2"/>
            <w:bookmarkEnd w:id="30"/>
            <w:r>
              <w:rPr>
                <w:sz w:val="20"/>
              </w:rPr>
              <w:t>ABR-PF</w:t>
            </w:r>
          </w:p>
        </w:tc>
        <w:tc>
          <w:tcPr>
            <w:tcW w:w="60" w:type="dxa"/>
            <w:tcBorders/>
            <w:tcMar>
              <w:bottom w:w="0" w:type="dxa"/>
            </w:tcMar>
            <w:vAlign w:val="center"/>
          </w:tcPr>
          <w:p>
            <w:pPr>
              <w:pStyle w:val="TableContents"/>
              <w:bidi w:val="0"/>
              <w:spacing w:before="0" w:after="283"/>
              <w:jc w:val="left"/>
              <w:rPr/>
            </w:pPr>
            <w:r>
              <w:rPr/>
              <w:t> </w:t>
            </w:r>
          </w:p>
        </w:tc>
        <w:tc>
          <w:tcPr>
            <w:tcW w:w="2707" w:type="dxa"/>
            <w:tcBorders/>
            <w:tcMar>
              <w:bottom w:w="0" w:type="dxa"/>
            </w:tcMar>
            <w:vAlign w:val="center"/>
          </w:tcPr>
          <w:p>
            <w:pPr>
              <w:pStyle w:val="TableContents"/>
              <w:bidi w:val="0"/>
              <w:spacing w:before="0" w:after="283"/>
              <w:jc w:val="center"/>
              <w:rPr>
                <w:sz w:val="20"/>
              </w:rPr>
            </w:pPr>
            <w:bookmarkStart w:id="31" w:name="xdx_902_edei--SecurityExchangeName_c2026"/>
            <w:bookmarkEnd w:id="3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2" w:name="xdx_900_edei--EntityEmergingGrowthCompan"/>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Indenture and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Arbor Realty Trust, Inc.,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completed the issuance and sale of $375 million aggregate principal amount, including the Option (as defined below), of its 6.25% Convertible Senior Notes due 2029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pursuant to a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and among the Company, Arbor Realty Limited Partnership, a Delaware limited partnership, and J.P. Morgan Securities LLC, as representative of the initial purchasers named therein (the “</w:t>
      </w:r>
      <w:r>
        <w:rPr>
          <w:rFonts w:ascii="Times New Roman;Times;Serif" w:hAnsi="Times New Roman;Times;Serif"/>
          <w:b w:val="false"/>
          <w:i w:val="false"/>
          <w:caps w:val="false"/>
          <w:smallCaps w:val="false"/>
          <w:sz w:val="20"/>
          <w:u w:val="single"/>
        </w:rPr>
        <w:t>Initial Purchasers</w:t>
      </w:r>
      <w:r>
        <w:rPr>
          <w:rFonts w:ascii="Times New Roman;Times;Serif" w:hAnsi="Times New Roman;Times;Serif"/>
          <w:b w:val="false"/>
          <w:i w:val="false"/>
          <w:caps w:val="false"/>
          <w:smallCaps w:val="false"/>
          <w:sz w:val="20"/>
        </w:rPr>
        <w:t>”), whereby the Company agreed to sell to the Initial Purchasers and the Initial Purchasers agreed to purchase from the Company, subject to and upon the terms and conditions set forth in the Purchase Agreement, the Notes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Pursuant to the Purchase Agreement, the Company granted the Initial Purchasers the right to purchase, exercisable within a 13-day period, up to an additional $50 million aggregate principal amount of the Notes (the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The Initial Purchasers exercised the Option in full on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the Company, bear interest at a rate equal to 6.25% per year, payable semiannually in arrears on January 1 and July 1 of each year, beginning on January 1, 2027 and will mature on July 1, 2029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unless earlier converted or repurchased. The Company will not have the right to redeem the Notes prior to maturity and no sinking fund is provided for the Notes. </w:t>
      </w:r>
      <w:r>
        <w:rPr>
          <w:rFonts w:ascii="Times New Roman;Times;Serif" w:hAnsi="Times New Roman;Times;Serif"/>
          <w:b w:val="false"/>
          <w:i w:val="false"/>
          <w:caps w:val="false"/>
          <w:smallCaps w:val="false"/>
          <w:sz w:val="20"/>
          <w:shd w:fill="FFFFFF" w:val="clear"/>
        </w:rPr>
        <w:t>The Notes will be convertible prior to April 1, 2029 upon the satisfaction of certain conditions and at any time on or after April 1, 2029 until the close of business on the second scheduled trading day immediately preceding the Maturity Date. Upon conversion, the Company will settle the Notes by paying cash and, if applicable, delivering shares of the Company’s common stock, at the Company’s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will initially be 164.0016 shares of common stock per $1,000 principal amount of Notes (equivalent to an initial conversion price of approximately $6.10 per share of common stock). The conversion rate will be subject to adjustment in some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undergoes a fundamental change (as defined in the Indenture (as defined below)), holders may require the Company to repurchase for cash all or any portion of their Notes at a fundamental change repurchase price equal to 100% of the principal amount of the Notes to be repurchased,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interest to, but excluding, the fundamental change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the Company from the sale of the Notes, including the exercise of the Option, was $375 million, before deducting the Initial Purchasers’ discounts and commissions and estimated offering expenses payable by the Company. The Company intends to use the gross proceeds from the Offering to (i) use approximately $11.6 million to repurchase 2,140,300 shares of its common stock concurrently with the pricing of the Offering in privately negotiated transactions through one of the initial purchasers or its affiliate, as its agent; (ii) repurchase approximately $102.7 million of shares of its common stock pursuant to the Prepaid Forward Transaction described below; (iii) use a portion of the proceeds, together with cash on hand, to redeem in full the Company’s outstanding $270 million of 4.50% Senior Notes due September 1, 2026 at par plus accrued and unpaid interest; and (iv) use any remaining proceeds from the Offering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under an indenture, dated as of July 6, 2026, between the Company and U.S. Bank Trust Company, National Association, as trustee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common stock issuable upon conversion of the Notes, if any, were offered and sold in a private offering that was exempt from the registration requirements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offering was made only to persons reasonably believed to be “qualified institutional buyers” under Rule 144A. The Notes and the common stock issuable upon conversion of the Notes, if any, have not been registered under the Securities Act or the securities laws of any other jurisdiction. Unless so registered, the Notes and the common stock issuable upon conversion of the Notes, if any, may not be offered or sold in the United States except pursuant to an exemption from, or in a transaction not subject to, the registration requirements of the Securities Act and applicable state securities laws. Initially, a maximum of 69,188,175 shares of the Company’s common stock may be issued upon conversion of the Notes, based on the initial maximum conversion rate of 184.5018 shares of common stock per $1,000 principal amount of Notes, which is subject to customary anti-dilution adjustment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Indenture and the form of the Notes are attached hereto as Exhibit 4.1 and Exhibit 4.2, respectively, and are incorporated herein by reference. The foregoing summaries do not purport to be complete and are qualified in their entirety by reference to the Indenture and the form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Prepaid Forward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in connection with the pricing of the Notes, the Company entered into a prepaid forward stock purchase transaction (the “</w:t>
      </w:r>
      <w:r>
        <w:rPr>
          <w:rFonts w:ascii="Times New Roman;Times;Serif" w:hAnsi="Times New Roman;Times;Serif"/>
          <w:b w:val="false"/>
          <w:i w:val="false"/>
          <w:caps w:val="false"/>
          <w:smallCaps w:val="false"/>
          <w:sz w:val="20"/>
          <w:u w:val="single"/>
        </w:rPr>
        <w:t>Prepaid Forward Transaction</w:t>
      </w:r>
      <w:r>
        <w:rPr>
          <w:rFonts w:ascii="Times New Roman;Times;Serif" w:hAnsi="Times New Roman;Times;Serif"/>
          <w:b w:val="false"/>
          <w:i w:val="false"/>
          <w:caps w:val="false"/>
          <w:smallCaps w:val="false"/>
          <w:sz w:val="20"/>
        </w:rPr>
        <w:t>”) with one of the initial purchasers of the Notes or its affiliates (in this capacity, the “</w:t>
      </w:r>
      <w:r>
        <w:rPr>
          <w:rFonts w:ascii="Times New Roman;Times;Serif" w:hAnsi="Times New Roman;Times;Serif"/>
          <w:b w:val="false"/>
          <w:i w:val="false"/>
          <w:caps w:val="false"/>
          <w:smallCaps w:val="false"/>
          <w:sz w:val="20"/>
          <w:u w:val="single"/>
        </w:rPr>
        <w:t>Forward Counterparty</w:t>
      </w:r>
      <w:r>
        <w:rPr>
          <w:rFonts w:ascii="Times New Roman;Times;Serif" w:hAnsi="Times New Roman;Times;Serif"/>
          <w:b w:val="false"/>
          <w:i w:val="false"/>
          <w:caps w:val="false"/>
          <w:smallCaps w:val="false"/>
          <w:sz w:val="20"/>
        </w:rPr>
        <w:t>”). The initial aggregate number of shares of the Company’s common stock underlying the Prepaid Forward Transaction is 18,941,200 shares. On July 6, 2026, the Company used approximately $102.7 million of the gross proceeds of the Offering of the Notes to fund the Prepaid Forward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Forward Transaction is a separate transaction between the Company and the Forward Counterparty and is not part of the terms of the Notes and will not affect any holder’s rights under the Notes or the Indenture. Holders of the Notes will not have any rights with respect to the Prepaid Forward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Prepaid Forward Transaction is a summary and is not complete. A copy of the form of confirmation for the Prepaid Forward Transaction is filed as Exhibit 10.1 to this Current Report on Form 8-K, and the above summary is qualified by reference to the terms of the form of confirmation set forth in such exhibit.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4"/>
        <w:gridCol w:w="9341"/>
      </w:tblGrid>
      <w:tr>
        <w:trPr/>
        <w:tc>
          <w:tcPr>
            <w:tcW w:w="864" w:type="dxa"/>
            <w:tcBorders/>
            <w:vAlign w:val="center"/>
          </w:tcPr>
          <w:p>
            <w:pPr>
              <w:pStyle w:val="TableContents"/>
              <w:bidi w:val="0"/>
              <w:spacing w:before="0" w:after="283"/>
              <w:jc w:val="left"/>
              <w:rPr>
                <w:b/>
              </w:rPr>
            </w:pPr>
            <w:r>
              <w:rPr>
                <w:b/>
              </w:rPr>
              <w:t>Item 2.03</w:t>
            </w:r>
          </w:p>
        </w:tc>
        <w:tc>
          <w:tcPr>
            <w:tcW w:w="9341" w:type="dxa"/>
            <w:tcBorders/>
            <w:vAlign w:val="center"/>
          </w:tcPr>
          <w:p>
            <w:pPr>
              <w:pStyle w:val="TableContents"/>
              <w:bidi w:val="0"/>
              <w:spacing w:before="0" w:after="283"/>
              <w:jc w:val="both"/>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is incorporated herein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980"/>
        <w:gridCol w:w="4025"/>
      </w:tblGrid>
      <w:tr>
        <w:trPr/>
        <w:tc>
          <w:tcPr>
            <w:tcW w:w="980"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both"/>
              <w:rPr>
                <w:b/>
              </w:rPr>
            </w:pPr>
            <w:r>
              <w:rPr>
                <w:b/>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is incorporated herein by reference into this Item 3.02.</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830"/>
        <w:gridCol w:w="35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283"/>
              <w:jc w:val="both"/>
              <w:rPr>
                <w:i/>
              </w:rPr>
            </w:pPr>
            <w:r>
              <w:rPr>
                <w:i/>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00"/>
        <w:gridCol w:w="60"/>
        <w:gridCol w:w="8745"/>
      </w:tblGrid>
      <w:tr>
        <w:trPr/>
        <w:tc>
          <w:tcPr>
            <w:tcW w:w="1400"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745" w:type="dxa"/>
            <w:tcBorders>
              <w:bottom w:val="single" w:sz="8" w:space="0" w:color="000000"/>
            </w:tcBorders>
            <w:vAlign w:val="center"/>
          </w:tcPr>
          <w:p>
            <w:pPr>
              <w:pStyle w:val="TableContents"/>
              <w:bidi w:val="0"/>
              <w:spacing w:before="0" w:after="283"/>
              <w:jc w:val="center"/>
              <w:rPr>
                <w:b/>
                <w:sz w:val="20"/>
              </w:rPr>
            </w:pPr>
            <w:r>
              <w:rPr>
                <w:b/>
                <w:sz w:val="20"/>
              </w:rPr>
              <w:t>Exhibit</w:t>
            </w:r>
          </w:p>
        </w:tc>
      </w:tr>
      <w:tr>
        <w:trPr/>
        <w:tc>
          <w:tcPr>
            <w:tcW w:w="1400" w:type="dxa"/>
            <w:tcBorders/>
            <w:tcMar>
              <w:bottom w:w="0" w:type="dxa"/>
            </w:tcMar>
            <w:vAlign w:val="center"/>
          </w:tcPr>
          <w:p>
            <w:pPr>
              <w:pStyle w:val="TableContents"/>
              <w:bidi w:val="0"/>
              <w:spacing w:before="0" w:after="283"/>
              <w:jc w:val="left"/>
              <w:rPr/>
            </w:pPr>
            <w:hyperlink w:anchor="tm2619809d1_ex4-1.htm">
              <w:r>
                <w:rPr>
                  <w:rStyle w:val="InternetLink"/>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pPr>
            <w:hyperlink w:anchor="tm2619809d1_ex4-1.htm">
              <w:r>
                <w:rPr>
                  <w:rStyle w:val="InternetLink"/>
                </w:rPr>
                <w:t>Indenture, dated as of July 6, 2026, between Arbor Realty Trust, Inc. and U.S. Bank Trust Company, National Association, as trustee</w:t>
              </w:r>
            </w:hyperlink>
          </w:p>
        </w:tc>
      </w:tr>
      <w:tr>
        <w:trPr/>
        <w:tc>
          <w:tcPr>
            <w:tcW w:w="1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pPr>
            <w:r>
              <w:rPr/>
              <w:t> </w:t>
            </w:r>
          </w:p>
        </w:tc>
      </w:tr>
      <w:tr>
        <w:trPr/>
        <w:tc>
          <w:tcPr>
            <w:tcW w:w="1400" w:type="dxa"/>
            <w:tcBorders/>
            <w:tcMar>
              <w:bottom w:w="0" w:type="dxa"/>
            </w:tcMar>
            <w:vAlign w:val="center"/>
          </w:tcPr>
          <w:p>
            <w:pPr>
              <w:pStyle w:val="TableContents"/>
              <w:bidi w:val="0"/>
              <w:spacing w:before="0" w:after="283"/>
              <w:jc w:val="left"/>
              <w:rPr/>
            </w:pPr>
            <w:hyperlink w:anchor="tm2619809d1_ex4-1.htm">
              <w:r>
                <w:rPr>
                  <w:rStyle w:val="InternetLink"/>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pPr>
            <w:hyperlink w:anchor="tm2619809d1_ex4-1.htm">
              <w:r>
                <w:rPr>
                  <w:rStyle w:val="InternetLink"/>
                </w:rPr>
                <w:t>Form of 6.25% Convertible Senior Notes due 2029 (included in Exhibit 4.1 hereto)</w:t>
              </w:r>
            </w:hyperlink>
          </w:p>
        </w:tc>
      </w:tr>
      <w:tr>
        <w:trPr/>
        <w:tc>
          <w:tcPr>
            <w:tcW w:w="1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pPr>
            <w:r>
              <w:rPr/>
              <w:t> </w:t>
            </w:r>
          </w:p>
        </w:tc>
      </w:tr>
      <w:tr>
        <w:trPr/>
        <w:tc>
          <w:tcPr>
            <w:tcW w:w="1400" w:type="dxa"/>
            <w:tcBorders/>
            <w:tcMar>
              <w:bottom w:w="0" w:type="dxa"/>
            </w:tcMar>
            <w:vAlign w:val="center"/>
          </w:tcPr>
          <w:p>
            <w:pPr>
              <w:pStyle w:val="TableContents"/>
              <w:bidi w:val="0"/>
              <w:spacing w:before="0" w:after="283"/>
              <w:jc w:val="left"/>
              <w:rPr/>
            </w:pPr>
            <w:hyperlink w:anchor="tm2619809d1_ex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pPr>
            <w:hyperlink w:anchor="tm2619809d1_ex10-1.htm">
              <w:r>
                <w:rPr>
                  <w:rStyle w:val="InternetLink"/>
                  <w:sz w:val="20"/>
                </w:rPr>
                <w:t>Form of Confirmation for Prepaid Forward Transaction</w:t>
              </w:r>
            </w:hyperlink>
          </w:p>
        </w:tc>
      </w:tr>
      <w:tr>
        <w:trPr/>
        <w:tc>
          <w:tcPr>
            <w:tcW w:w="1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pPr>
            <w:r>
              <w:rPr/>
              <w:t> </w:t>
            </w:r>
          </w:p>
        </w:tc>
      </w:tr>
      <w:tr>
        <w:trPr/>
        <w:tc>
          <w:tcPr>
            <w:tcW w:w="1400"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0" w:type="dxa"/>
          <w:right w:w="0" w:type="dxa"/>
        </w:tblCellMar>
      </w:tblPr>
      <w:tblGrid>
        <w:gridCol w:w="1520"/>
        <w:gridCol w:w="590"/>
        <w:gridCol w:w="2054"/>
      </w:tblGrid>
      <w:tr>
        <w:trPr/>
        <w:tc>
          <w:tcPr>
            <w:tcW w:w="1520"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ARBOR REALTY TRUST, INC.</w:t>
            </w:r>
          </w:p>
        </w:tc>
      </w:tr>
      <w:tr>
        <w:trPr/>
        <w:tc>
          <w:tcPr>
            <w:tcW w:w="1520"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Paul Elenio</w:t>
            </w:r>
          </w:p>
        </w:tc>
      </w:tr>
      <w:tr>
        <w:trPr/>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Elenio</w:t>
            </w:r>
          </w:p>
        </w:tc>
      </w:tr>
      <w:tr>
        <w:trPr/>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520"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6, 2026</w:t>
            </w:r>
          </w:p>
        </w:tc>
        <w:tc>
          <w:tcPr>
            <w:tcW w:w="264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3" w:name="tm2619809d1_ex4-1.htm"/>
      <w:bookmarkStart w:id="34" w:name="kstm2619809d1_ex41"/>
      <w:bookmarkEnd w:id="33"/>
      <w:bookmarkEnd w:id="34"/>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ARBOR REALTY TRUST,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Convertible Senior Notes due 2029</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tbl>
      <w:tblPr>
        <w:tblW w:w="3120" w:type="dxa"/>
        <w:jc w:val="left"/>
        <w:tblInd w:w="0" w:type="dxa"/>
        <w:tblLayout w:type="fixed"/>
        <w:tblCellMar>
          <w:top w:w="0" w:type="dxa"/>
          <w:left w:w="0" w:type="dxa"/>
          <w:bottom w:w="0" w:type="dxa"/>
          <w:right w:w="0" w:type="dxa"/>
        </w:tblCellMar>
      </w:tblPr>
      <w:tblGrid>
        <w:gridCol w:w="1100"/>
        <w:gridCol w:w="1775"/>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17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17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to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caps w:val="false"/>
          <w:smallCaps w:val="false"/>
          <w:sz w:val="20"/>
        </w:rPr>
        <w:br/>
        <w:t>Issue, Description, Execution, Registration and Exchange of Securities</w:t>
      </w:r>
    </w:p>
    <w:p>
      <w:pPr>
        <w:pStyle w:val="TextBody"/>
        <w:bidi w:val="0"/>
        <w:spacing w:before="0" w:after="0"/>
        <w:ind w:left="0" w:right="0" w:hanging="0"/>
        <w:jc w:val="left"/>
        <w:rPr>
          <w:caps w:val="false"/>
          <w:smallCaps w:val="false"/>
        </w:rPr>
      </w:pPr>
      <w:r>
        <w:rPr>
          <w:caps w:val="false"/>
          <w:smallCaps w:val="false"/>
        </w:rPr>
        <w:t> </w:t>
      </w:r>
    </w:p>
    <w:tbl>
      <w:tblPr>
        <w:tblW w:w="8685" w:type="dxa"/>
        <w:jc w:val="left"/>
        <w:tblInd w:w="0" w:type="dxa"/>
        <w:tblLayout w:type="fixed"/>
        <w:tblCellMar>
          <w:top w:w="0" w:type="dxa"/>
          <w:left w:w="0" w:type="dxa"/>
          <w:bottom w:w="0" w:type="dxa"/>
          <w:right w:w="0" w:type="dxa"/>
        </w:tblCellMar>
      </w:tblPr>
      <w:tblGrid>
        <w:gridCol w:w="1100"/>
        <w:gridCol w:w="7340"/>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Designation and Amount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 and Denomination of Securities; Payments of Interest and Defaulted Amounts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Authentication and Delivery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and Registration of Transfer of Securities; Restrictions on Transfer; Depositary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Mutilated, Destroyed, Lost or Stolen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Temporary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Cancellation of Securities Paid, Converted,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CUSIP Numbers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Securities; Repurchases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caps w:val="false"/>
          <w:smallCaps w:val="false"/>
          <w:sz w:val="20"/>
        </w:rPr>
        <w:br/>
        <w:t>Satisfaction and Discharge</w:t>
      </w:r>
    </w:p>
    <w:p>
      <w:pPr>
        <w:pStyle w:val="TextBody"/>
        <w:bidi w:val="0"/>
        <w:spacing w:before="0" w:after="0"/>
        <w:ind w:left="0" w:right="0" w:hanging="0"/>
        <w:jc w:val="lef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1100"/>
        <w:gridCol w:w="3950"/>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39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Satisfaction and Discharge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39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Deposited Monies to Be Held in Trust by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39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Paying Agent to Repay Monies Held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39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 of Unclaimed Monies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39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Reinstatement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caps w:val="false"/>
          <w:smallCaps w:val="false"/>
          <w:sz w:val="20"/>
        </w:rPr>
        <w:br/>
        <w:t>Particular Covenants of the Company</w:t>
      </w:r>
    </w:p>
    <w:p>
      <w:pPr>
        <w:pStyle w:val="TextBody"/>
        <w:bidi w:val="0"/>
        <w:spacing w:before="0" w:after="0"/>
        <w:ind w:left="0" w:right="0" w:hanging="0"/>
        <w:jc w:val="left"/>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1100"/>
        <w:gridCol w:w="6350"/>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of Principal and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Appointments to Fill Vacancies in Trustee’s Office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 as to Paying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Existence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144A Information Requirement and Annual Reports; Additional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Stay, Extension and Usury Laws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Certificate; Statements as to Defaults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to Take Certain Actions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63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Further Instruments and Acts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caps w:val="false"/>
          <w:smallCaps w:val="false"/>
          <w:sz w:val="20"/>
        </w:rPr>
        <w:br/>
        <w:t>Lists of Holders and Reports by the Company and the Trustee</w:t>
      </w:r>
    </w:p>
    <w:p>
      <w:pPr>
        <w:pStyle w:val="TextBody"/>
        <w:bidi w:val="0"/>
        <w:spacing w:before="0" w:after="0"/>
        <w:ind w:left="0" w:right="0" w:hanging="0"/>
        <w:jc w:val="left"/>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1100"/>
        <w:gridCol w:w="2975"/>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29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Lists of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29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Preservation and Disclosure of Lists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caps w:val="false"/>
          <w:smallCaps w:val="false"/>
          <w:sz w:val="20"/>
        </w:rPr>
        <w:br/>
        <w:t>Defaults and Remedies</w:t>
      </w:r>
    </w:p>
    <w:p>
      <w:pPr>
        <w:pStyle w:val="TextBody"/>
        <w:bidi w:val="0"/>
        <w:spacing w:before="0" w:after="0"/>
        <w:ind w:left="0" w:right="0" w:hanging="0"/>
        <w:jc w:val="left"/>
        <w:rPr>
          <w:caps w:val="false"/>
          <w:smallCaps w:val="false"/>
        </w:rPr>
      </w:pPr>
      <w:r>
        <w:rPr>
          <w:caps w:val="false"/>
          <w:smallCaps w:val="false"/>
        </w:rPr>
        <w:t> </w:t>
      </w:r>
    </w:p>
    <w:tbl>
      <w:tblPr>
        <w:tblW w:w="7395" w:type="dxa"/>
        <w:jc w:val="left"/>
        <w:tblInd w:w="0" w:type="dxa"/>
        <w:tblLayout w:type="fixed"/>
        <w:tblCellMar>
          <w:top w:w="0" w:type="dxa"/>
          <w:left w:w="0" w:type="dxa"/>
          <w:bottom w:w="0" w:type="dxa"/>
          <w:right w:w="0" w:type="dxa"/>
        </w:tblCellMar>
      </w:tblPr>
      <w:tblGrid>
        <w:gridCol w:w="1100"/>
        <w:gridCol w:w="6050"/>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Acceleration; Rescission and Annulment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Cure of Defaults; Ability to Cure or Waive Before Event of Default Occurs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 by Majority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of Holders to Receive Payment and to Convert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Collection of Indebtedness; Suit for Enforcement by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 May Enforce Claims Without Possession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Delay or Omission Not a Waiver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Priorities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6.16.</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6.17.</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of Stay, Extension and Usury Laws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6.18.</w:t>
            </w:r>
          </w:p>
        </w:tc>
        <w:tc>
          <w:tcPr>
            <w:tcW w:w="60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Notices from the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caps w:val="false"/>
          <w:smallCaps w:val="false"/>
          <w:sz w:val="20"/>
        </w:rPr>
        <w:br/>
        <w:t>Concerning the Trustee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9"/>
        <w:gridCol w:w="8860"/>
        <w:gridCol w:w="246"/>
      </w:tblGrid>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Duties and Responsibilities of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Reliance on Documents, Opinions, Etc.</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Responsibility for Recitals, Etc.</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 Paying Agents, Conversion Agents, Bid Solicitation Agent or Security Registrar May Own Securities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Monies and Shares of Common Stock to Be Held in Trust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and Expenses of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Officers’ Certificate as Evidence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 of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or Removal of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Acceptance by Successor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Succession by Merger, Etc.</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88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Trustee’s Application for Instructions from the Company</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caps w:val="false"/>
          <w:smallCaps w:val="false"/>
          <w:sz w:val="20"/>
        </w:rPr>
        <w:br/>
        <w:t>Concerning the Holders</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100"/>
        <w:gridCol w:w="3890"/>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38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Action by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38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Proof of Execution by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38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Are Deemed Absolute Owners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38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Company-Owned Securities Disregarded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38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Revocation of Consents; Future Holders Bound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caps w:val="false"/>
          <w:smallCaps w:val="false"/>
          <w:sz w:val="20"/>
        </w:rPr>
        <w:br/>
        <w:t>Holders’ Meetings</w:t>
      </w:r>
    </w:p>
    <w:p>
      <w:pPr>
        <w:pStyle w:val="TextBody"/>
        <w:bidi w:val="0"/>
        <w:spacing w:before="0" w:after="0"/>
        <w:ind w:left="0" w:right="0" w:hanging="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100"/>
        <w:gridCol w:w="3365"/>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33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of Meetings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33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 of Meetings by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33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 of Meetings by Company or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33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Qualifications for Voting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33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p>
        </w:tc>
        <w:tc>
          <w:tcPr>
            <w:tcW w:w="33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p>
        </w:tc>
        <w:tc>
          <w:tcPr>
            <w:tcW w:w="33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Delay of Rights by Meeting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caps w:val="false"/>
          <w:smallCaps w:val="false"/>
          <w:sz w:val="20"/>
        </w:rPr>
        <w:br/>
        <w:t>Supplemental Indentures</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0" w:type="dxa"/>
          <w:right w:w="0" w:type="dxa"/>
        </w:tblCellMar>
      </w:tblPr>
      <w:tblGrid>
        <w:gridCol w:w="1205"/>
        <w:gridCol w:w="6230"/>
        <w:gridCol w:w="245"/>
      </w:tblGrid>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2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2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Indentures with Consent of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2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Supplemental Indentures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2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Notation on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2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Evidence of Compliance of Supplemental Indenture to Be Furnished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11</w:t>
      </w:r>
      <w:r>
        <w:rPr>
          <w:rFonts w:ascii="Times New Roman;Times;Serif" w:hAnsi="Times New Roman;Times;Serif"/>
          <w:b w:val="false"/>
          <w:i w:val="false"/>
          <w:caps w:val="false"/>
          <w:smallCaps w:val="false"/>
          <w:sz w:val="20"/>
        </w:rPr>
        <w:br/>
        <w:t>Consolidation, Merger, Sale, Conveyance and Lease</w:t>
      </w:r>
    </w:p>
    <w:p>
      <w:pPr>
        <w:pStyle w:val="TextBody"/>
        <w:bidi w:val="0"/>
        <w:spacing w:before="0" w:after="0"/>
        <w:ind w:left="0" w:right="0" w:hanging="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1205"/>
        <w:gridCol w:w="4115"/>
        <w:gridCol w:w="245"/>
      </w:tblGrid>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41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May Consolidate, Etc. on Certain Terms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41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Successor Entity to Be Substituted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41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of Counsel to Be Given to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12</w:t>
      </w:r>
      <w:r>
        <w:rPr>
          <w:rFonts w:ascii="Times New Roman;Times;Serif" w:hAnsi="Times New Roman;Times;Serif"/>
          <w:b w:val="false"/>
          <w:i w:val="false"/>
          <w:caps w:val="false"/>
          <w:smallCaps w:val="false"/>
          <w:sz w:val="20"/>
        </w:rPr>
        <w:b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1205"/>
        <w:gridCol w:w="4505"/>
        <w:gridCol w:w="245"/>
      </w:tblGrid>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450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Indenture and Securities Solely Corporate Obligations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13</w:t>
      </w:r>
      <w:r>
        <w:rPr>
          <w:rFonts w:ascii="Times New Roman;Times;Serif" w:hAnsi="Times New Roman;Times;Serif"/>
          <w:b w:val="false"/>
          <w:i w:val="false"/>
          <w:caps w:val="false"/>
          <w:smallCaps w:val="false"/>
          <w:sz w:val="20"/>
        </w:rPr>
        <w:b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14</w:t>
      </w:r>
      <w:r>
        <w:rPr>
          <w:rFonts w:ascii="Times New Roman;Times;Serif" w:hAnsi="Times New Roman;Times;Serif"/>
          <w:b w:val="false"/>
          <w:i w:val="false"/>
          <w:caps w:val="false"/>
          <w:smallCaps w:val="false"/>
          <w:sz w:val="20"/>
        </w:rPr>
        <w:br/>
        <w:t>Conversion of Securities</w:t>
      </w:r>
    </w:p>
    <w:p>
      <w:pPr>
        <w:pStyle w:val="TextBody"/>
        <w:bidi w:val="0"/>
        <w:spacing w:before="0" w:after="0"/>
        <w:ind w:left="0" w:right="0" w:hanging="0"/>
        <w:jc w:val="left"/>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1205"/>
        <w:gridCol w:w="2555"/>
        <w:gridCol w:w="245"/>
      </w:tblGrid>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w:t>
            </w:r>
          </w:p>
        </w:tc>
        <w:tc>
          <w:tcPr>
            <w:tcW w:w="25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to Convert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w:t>
            </w:r>
          </w:p>
        </w:tc>
        <w:tc>
          <w:tcPr>
            <w:tcW w:w="25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Procedures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w:t>
            </w:r>
          </w:p>
        </w:tc>
        <w:tc>
          <w:tcPr>
            <w:tcW w:w="25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Upon Conversion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w:t>
            </w:r>
          </w:p>
        </w:tc>
        <w:tc>
          <w:tcPr>
            <w:tcW w:w="25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of Conversion Rate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w:t>
            </w:r>
          </w:p>
        </w:tc>
        <w:tc>
          <w:tcPr>
            <w:tcW w:w="25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Adjustments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170" w:type="dxa"/>
        <w:jc w:val="left"/>
        <w:tblInd w:w="0" w:type="dxa"/>
        <w:tblLayout w:type="fixed"/>
        <w:tblCellMar>
          <w:top w:w="0" w:type="dxa"/>
          <w:left w:w="0" w:type="dxa"/>
          <w:bottom w:w="0" w:type="dxa"/>
          <w:right w:w="0" w:type="dxa"/>
        </w:tblCellMar>
      </w:tblPr>
      <w:tblGrid>
        <w:gridCol w:w="1205"/>
        <w:gridCol w:w="8720"/>
        <w:gridCol w:w="245"/>
      </w:tblGrid>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w:t>
            </w:r>
          </w:p>
        </w:tc>
        <w:tc>
          <w:tcPr>
            <w:tcW w:w="8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Conversion Rate Upon Conversion in Connection with a Make-Whole Fundamental Change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14.07.</w:t>
            </w:r>
          </w:p>
        </w:tc>
        <w:tc>
          <w:tcPr>
            <w:tcW w:w="8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Recapitalizations, Reclassifications and Changes of the Common Stock</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14.08.</w:t>
            </w:r>
          </w:p>
        </w:tc>
        <w:tc>
          <w:tcPr>
            <w:tcW w:w="8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Issued Upon Conversion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14.09.</w:t>
            </w:r>
          </w:p>
        </w:tc>
        <w:tc>
          <w:tcPr>
            <w:tcW w:w="8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Responsibility of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14.10.</w:t>
            </w:r>
          </w:p>
        </w:tc>
        <w:tc>
          <w:tcPr>
            <w:tcW w:w="8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 to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14.11.</w:t>
            </w:r>
          </w:p>
        </w:tc>
        <w:tc>
          <w:tcPr>
            <w:tcW w:w="8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in Lieu of Conversion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15</w:t>
      </w:r>
      <w:r>
        <w:rPr>
          <w:rFonts w:ascii="Times New Roman;Times;Serif" w:hAnsi="Times New Roman;Times;Serif"/>
          <w:b w:val="false"/>
          <w:i w:val="false"/>
          <w:caps w:val="false"/>
          <w:smallCaps w:val="false"/>
          <w:sz w:val="20"/>
        </w:rPr>
        <w:br/>
        <w:t>Repurchase of Securities at Option of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1"/>
        <w:gridCol w:w="8778"/>
        <w:gridCol w:w="246"/>
      </w:tblGrid>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Intentionally Omitted</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 at Option of Holders Upon a Fundamental Change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Fundamental Change Repurchase Notice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Withdrawal of Fundamental Change Repurchase Notice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Deposit of Fundamental Change Repurchase Price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15.06.</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Purchased in Whole or in Part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15.07.</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To Comply with Applicable Laws upon Purchase of Securities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15.08.</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to the Company</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15.09.</w:t>
            </w:r>
          </w:p>
        </w:tc>
        <w:tc>
          <w:tcPr>
            <w:tcW w:w="877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Requirement to Conduct an Offer to Repurchase Notes if the Fundamental Change Results in the Notes Becoming Convertible into an Amount of Cash Exceeding the Fundamental Change Repurchase Price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16</w:t>
      </w:r>
      <w:r>
        <w:rPr>
          <w:rFonts w:ascii="Times New Roman;Times;Serif" w:hAnsi="Times New Roman;Times;Serif"/>
          <w:b w:val="false"/>
          <w:i w:val="false"/>
          <w:caps w:val="false"/>
          <w:smallCaps w:val="false"/>
          <w:sz w:val="20"/>
        </w:rPr>
        <w:br/>
        <w:t>No Optional Redemption</w:t>
      </w:r>
    </w:p>
    <w:p>
      <w:pPr>
        <w:pStyle w:val="TextBody"/>
        <w:bidi w:val="0"/>
        <w:spacing w:before="0" w:after="0"/>
        <w:ind w:left="0" w:right="0" w:hanging="0"/>
        <w:jc w:val="left"/>
        <w:rPr>
          <w:caps w:val="false"/>
          <w:smallCaps w:val="false"/>
        </w:rPr>
      </w:pPr>
      <w:r>
        <w:rPr>
          <w:caps w:val="false"/>
          <w:smallCaps w:val="false"/>
        </w:rPr>
        <w:t> </w:t>
      </w:r>
    </w:p>
    <w:tbl>
      <w:tblPr>
        <w:tblW w:w="3510" w:type="dxa"/>
        <w:jc w:val="left"/>
        <w:tblInd w:w="0" w:type="dxa"/>
        <w:tblLayout w:type="fixed"/>
        <w:tblCellMar>
          <w:top w:w="0" w:type="dxa"/>
          <w:left w:w="0" w:type="dxa"/>
          <w:bottom w:w="0" w:type="dxa"/>
          <w:right w:w="0" w:type="dxa"/>
        </w:tblCellMar>
      </w:tblPr>
      <w:tblGrid>
        <w:gridCol w:w="1205"/>
        <w:gridCol w:w="2060"/>
        <w:gridCol w:w="245"/>
      </w:tblGrid>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w:t>
            </w:r>
          </w:p>
        </w:tc>
        <w:tc>
          <w:tcPr>
            <w:tcW w:w="20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Optional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17</w:t>
      </w:r>
      <w:r>
        <w:rPr>
          <w:rFonts w:ascii="Times New Roman;Times;Serif" w:hAnsi="Times New Roman;Times;Serif"/>
          <w:b w:val="false"/>
          <w:i w:val="false"/>
          <w:caps w:val="false"/>
          <w:smallCaps w:val="false"/>
          <w:sz w:val="20"/>
        </w:rPr>
        <w:br/>
        <w:t>Miscellaneous Provisions</w:t>
      </w:r>
    </w:p>
    <w:p>
      <w:pPr>
        <w:pStyle w:val="TextBody"/>
        <w:bidi w:val="0"/>
        <w:spacing w:before="0" w:after="0"/>
        <w:ind w:left="0" w:right="0" w:hanging="0"/>
        <w:jc w:val="left"/>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1205"/>
        <w:gridCol w:w="8255"/>
        <w:gridCol w:w="245"/>
      </w:tblGrid>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17.01.</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 Binding on Company’s Successors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17.02.</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Official Acts by Successor Entity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17.03.</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Addresses for Notices,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17.04.</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 Jurisdiction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17.05.</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Evidence of Compliance with Conditions Precedent; Certificates and Opinions of Counsel to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17.06.</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Holidays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17.07.</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Security Interest Created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17.08.</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 of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17.09.</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17.10.</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Authenticating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17.11.</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in Counterparts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17.12.</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Severability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17.13.</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17.14.</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Force Majeure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17.15.</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Calculations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17.16.</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 PATRIOT Act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17.17.</w:t>
            </w:r>
          </w:p>
        </w:tc>
        <w:tc>
          <w:tcPr>
            <w:tcW w:w="82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Electronic Signatures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965"/>
        <w:gridCol w:w="1730"/>
      </w:tblGrid>
      <w:tr>
        <w:trPr/>
        <w:tc>
          <w:tcPr>
            <w:tcW w:w="965" w:type="dxa"/>
            <w:tcBorders/>
            <w:vAlign w:val="center"/>
          </w:tcPr>
          <w:p>
            <w:pPr>
              <w:pStyle w:val="TableContents"/>
              <w:bidi w:val="0"/>
              <w:spacing w:before="0" w:after="283"/>
              <w:jc w:val="left"/>
              <w:rPr>
                <w:sz w:val="20"/>
              </w:rPr>
            </w:pPr>
            <w:r>
              <w:rPr>
                <w:sz w:val="20"/>
              </w:rPr>
              <w:t>Schedule A</w:t>
            </w:r>
          </w:p>
        </w:tc>
        <w:tc>
          <w:tcPr>
            <w:tcW w:w="1730" w:type="dxa"/>
            <w:tcBorders/>
            <w:vAlign w:val="center"/>
          </w:tcPr>
          <w:p>
            <w:pPr>
              <w:pStyle w:val="TableContents"/>
              <w:bidi w:val="0"/>
              <w:spacing w:before="0" w:after="283"/>
              <w:jc w:val="both"/>
              <w:rPr/>
            </w:pPr>
            <w:r>
              <w:rPr/>
              <w:t>Additional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830"/>
        <w:gridCol w:w="1640"/>
      </w:tblGrid>
      <w:tr>
        <w:trPr/>
        <w:tc>
          <w:tcPr>
            <w:tcW w:w="830" w:type="dxa"/>
            <w:tcBorders/>
            <w:vAlign w:val="center"/>
          </w:tcPr>
          <w:p>
            <w:pPr>
              <w:pStyle w:val="TableContents"/>
              <w:bidi w:val="0"/>
              <w:spacing w:before="0" w:after="283"/>
              <w:jc w:val="left"/>
              <w:rPr>
                <w:sz w:val="20"/>
              </w:rPr>
            </w:pPr>
            <w:r>
              <w:rPr>
                <w:sz w:val="20"/>
              </w:rPr>
              <w:t>Exhibit A</w:t>
            </w:r>
          </w:p>
        </w:tc>
        <w:tc>
          <w:tcPr>
            <w:tcW w:w="1640" w:type="dxa"/>
            <w:tcBorders/>
            <w:vAlign w:val="center"/>
          </w:tcPr>
          <w:p>
            <w:pPr>
              <w:pStyle w:val="TableContents"/>
              <w:bidi w:val="0"/>
              <w:spacing w:before="0" w:after="283"/>
              <w:jc w:val="both"/>
              <w:rPr/>
            </w:pPr>
            <w:r>
              <w:rPr/>
              <w:t>Form of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July 6, 2026 between ARBOR REALTY TRUST, INC., a Maryland corporation,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more fully set forth in Section 1.01) and U.S. BANK TRUST COMPANY, NATIONAL ASSOCIATION, a national banking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more fully set forth in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its lawful corporate purposes, the Company has duly authorized the issuance of its 6.25% Convertible Senior Notes due 2029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initially in an aggregate principal amount not to exceed $375,000,000, and in order to provide the terms and conditions upon which the Securities are to be authenticated, issued and delivered, the Company has duly authorized the execution and delivery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Form of Security, the certificate of authentication to be borne by each Security, the Form of Notice of Conversion, the Form of Fundamental Change Repurchase Notice and the Form of Assignment and Transfer to be borne by the Securities are to be substantially in the forms hereinafter provided;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necessary to make the Securities,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Securities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order to declare the terms and conditions upon which the Securities are, and are to be, authenticated, issued and delivered, and in consideration of the premises and of the purchase and acceptance of the Securities by the Holders thereof, the Company covenants and agrees with the Trustee for the equal and proportionate benefit of the respective Holders from time to time of the Securities (except as otherwise provided below),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xml:space="preserve"> For all purposes of this Indenture,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terms defined in this Article 1 shall have the meanings assigned to them in this Article 1 and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accounting terms not otherwise defined herein have the meanings assigned to them in accordance with United States generally accepted accounting principles, the term “generally accepted accounting principles” with respect to any computation required or permitted hereunder shall mean such accounting principles as are generally accepted as consistently applied by the Company at the date of such computation;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unless the context otherwise requires, any reference to an “Article,” a “Section” or an “Exhibit” refers to an Article, a Section or an Exhibit, as the case may be, of or to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words “herein,” “hereof” and “hereunder”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1% Deferral Provision</w:t>
      </w:r>
      <w:r>
        <w:rPr>
          <w:rFonts w:ascii="Times New Roman;Times;Serif" w:hAnsi="Times New Roman;Times;Serif"/>
          <w:b w:val="false"/>
          <w:i w:val="false"/>
          <w:caps w:val="false"/>
          <w:smallCaps w:val="false"/>
          <w:sz w:val="20"/>
        </w:rPr>
        <w:t>” has the meaning specified in Section 14.04(i)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Interest</w:t>
      </w:r>
      <w:r>
        <w:rPr>
          <w:rFonts w:ascii="Times New Roman;Times;Serif" w:hAnsi="Times New Roman;Times;Serif"/>
          <w:b w:val="false"/>
          <w:i w:val="false"/>
          <w:caps w:val="false"/>
          <w:smallCaps w:val="false"/>
          <w:sz w:val="20"/>
        </w:rPr>
        <w:t>” means all amounts, if any, payable pursuant to Section 4.06(d), Section 4.06(e) and Section 6.03,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has the meaning specified in Section 14.06(a)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Procedures</w:t>
      </w:r>
      <w:r>
        <w:rPr>
          <w:rFonts w:ascii="Times New Roman;Times;Serif" w:hAnsi="Times New Roman;Times;Serif"/>
          <w:b w:val="false"/>
          <w:i w:val="false"/>
          <w:caps w:val="false"/>
          <w:smallCaps w:val="false"/>
          <w:sz w:val="20"/>
        </w:rPr>
        <w:t>” means, with respect to any matter at any time, the policies and procedures of the Depositary, if any, that are applicable to such matter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Bid Solicitation Agent Custodian, Conversion Agent, Note Registrar, Paying Agent or co-Note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Bid Solicitation Agent</w:t>
      </w:r>
      <w:r>
        <w:rPr>
          <w:rFonts w:ascii="Times New Roman;Times;Serif" w:hAnsi="Times New Roman;Times;Serif"/>
          <w:b w:val="false"/>
          <w:i w:val="false"/>
          <w:caps w:val="false"/>
          <w:smallCaps w:val="false"/>
          <w:sz w:val="20"/>
        </w:rPr>
        <w:t>” means the Company or such other Person as may be appointed, from time to time, by the Company to solicit bids for the Trading Price of the Securities in accordance with Section 14.01(b)(ii) hereof. Initially, the “Bid Solicitation Agent” means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for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and to be in full force and effect on the date of such certification,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has the meaning specified in Section 11.01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 day on which the Federal Reserve Bank of New York is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Person, any and all shares, interests, rights to purchase, warrants, options, participations or other equivalents of or interests in (however designated) the equity of such Person, but excluding any debt securities convertible into such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has the meaning specified in Section 14.03(a)(iv)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has the meaning specified in Section 14.04(c)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has the meaning specified in Section 14.04(c)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has the meaning specified in Section 14.04(c)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 has the meaning specified in Section 14.03(a)(iv)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 from time to time constituted, created under the Exchange Act, or, if at any time after the execution of this instrument the United States Securities and Exchange Commission is not existing and performing the duties now assigned to it under the Trust Indenture Act, then the body performing such duties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the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subject to Section 14.07, the shares of common stock, $0.01 par value per share, of the Company authorized at the date of this instrument as originally executed or shares of any class or classes of common stock resulting from any reclassification or reclassifications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 Change Event</w:t>
      </w:r>
      <w:r>
        <w:rPr>
          <w:rFonts w:ascii="Times New Roman;Times;Serif" w:hAnsi="Times New Roman;Times;Serif"/>
          <w:b w:val="false"/>
          <w:i w:val="false"/>
          <w:caps w:val="false"/>
          <w:smallCaps w:val="false"/>
          <w:sz w:val="20"/>
        </w:rPr>
        <w:t>” has the meaning specified in Section 14.07(a)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specified in the first paragraph of this Indenture, and subject to the provisions of Article 11, shall include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request or order signed in the name of the Company by its Chairman of the Board, its Vice Chairman of the Board, its President or a Vice President, and by its Treasurer, an Assistant Treasurer, its Secretary or an Assistant Secretary,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has the meaning specified in Section 4.02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has the meaning specified in Section 14.02(b)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has the meaning specified in Section 14.02(b)(i)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in respect of each Security, as of any date, $1,000 divided by the Conversion Rate in effect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means initially 164.0016 shares of Common Stock per $1,000 principal amount of Securities, subject to adjustment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at which at any particular time this Indenture shall be administered, which as of the date hereof is located at 60 Livingston Avenue, Mailcode: EP-MN-WS3C, St. Paul, MN 55107, Attention: Global Corporate Trust Services — Administrator for Arbor Realty Trust, Inc.,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the Trustee, as custodian with respect to the Securities (so long as the Securities constitute Global Securities), or any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for each of the 40 consecutive Trading Days during the Observation Period, 2.5% of the product of (a) the Conversion Rate in effect on such Trading Day and (b) the Daily VWAP on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Measurement Value</w:t>
      </w:r>
      <w:r>
        <w:rPr>
          <w:rFonts w:ascii="Times New Roman;Times;Serif" w:hAnsi="Times New Roman;Times;Serif"/>
          <w:b w:val="false"/>
          <w:i w:val="false"/>
          <w:caps w:val="false"/>
          <w:smallCaps w:val="false"/>
          <w:sz w:val="20"/>
        </w:rPr>
        <w:t>” has the meaning specified in Section 14.03(a)(vi)(A)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Settlement Amount</w:t>
      </w:r>
      <w:r>
        <w:rPr>
          <w:rFonts w:ascii="Times New Roman;Times;Serif" w:hAnsi="Times New Roman;Times;Serif"/>
          <w:b w:val="false"/>
          <w:i w:val="false"/>
          <w:caps w:val="false"/>
          <w:smallCaps w:val="false"/>
          <w:sz w:val="20"/>
        </w:rPr>
        <w:t>” has the meaning specified in Section 14.03(a)(vi)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each of the 40 consecutive Trading Days during the relevant Observation Period, the per-share volume-weighted average price as displayed under the heading “Bloomberg VWAP” on Bloomberg page “ABR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will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with the passage of time or the giving of notice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Defaulted Amounts</w:t>
      </w:r>
      <w:r>
        <w:rPr>
          <w:rFonts w:ascii="Times New Roman;Times;Serif" w:hAnsi="Times New Roman;Times;Serif"/>
          <w:b w:val="false"/>
          <w:i w:val="false"/>
          <w:caps w:val="false"/>
          <w:smallCaps w:val="false"/>
          <w:sz w:val="20"/>
        </w:rPr>
        <w:t>” means any amounts on any Security (including, without limitation, the Fundamental Change Repurchase Price, principal and interest) that are payable but are not punctually paid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means interest on Defaulted Amounts that accrues in accordance with Section 2.03(c).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De-Legending Deadline Date</w:t>
      </w:r>
      <w:r>
        <w:rPr>
          <w:rFonts w:ascii="Times New Roman;Times;Serif" w:hAnsi="Times New Roman;Times;Serif"/>
          <w:b w:val="false"/>
          <w:i w:val="false"/>
          <w:caps w:val="false"/>
          <w:smallCaps w:val="false"/>
          <w:sz w:val="20"/>
        </w:rPr>
        <w:t xml:space="preserve">” means, with respect to any Security, the 380th day after the Last Original Issuance Date of such Security;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such 380th day is after a Regular Record Date and on or before the next Interest Payment Date, then the De-Legending Deadline Date for such Security will instead be the Business Day immediately after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each Global Security, the Person specified in Section 2.05(c) as the Depositary with respect to such Securities, until a successor shall have been appointed and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has the meaning specified in Section 14.04(c)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(a) the first date on which shares of the Common Stock trade on the applicable exchange or in the applicable market, regular way, reflecting the relevant share split or share combination, as applicable, or (b) with respect to a Fundamental Change or Make-Whole Fundamental Change, the date such Fundamental Change or Make-Whole Fundamental Change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specified in Section 6.01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United States Securities Exchange Act of 1934 and any statute successor thereto, in each case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has the meaning specified in Section 14.11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 means a Fundamental Change that satisfies each of the conditions set forth in Section 15.09 and with respect to which the Company validly invokes the provisions of such Section 15.09.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the first date on which shares of the Common Stock trade on the applicable exchange or in the applicable market, regular way, without the right to receive the issuance, dividend or other distribution in question, from the Company or, if applicable, from the seller of the Common Stock on such exchange or market (in the form of due bills or otherwise) as determined by such exchange or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Assignment and Transfer</w:t>
      </w:r>
      <w:r>
        <w:rPr>
          <w:rFonts w:ascii="Times New Roman;Times;Serif" w:hAnsi="Times New Roman;Times;Serif"/>
          <w:b w:val="false"/>
          <w:i w:val="false"/>
          <w:caps w:val="false"/>
          <w:smallCaps w:val="false"/>
          <w:sz w:val="20"/>
        </w:rPr>
        <w:t>” means the “Form of Assignment and Transfer” attached as Attachment 3 to the Form of Security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Fundamental Change Repurchase Notice</w:t>
      </w:r>
      <w:r>
        <w:rPr>
          <w:rFonts w:ascii="Times New Roman;Times;Serif" w:hAnsi="Times New Roman;Times;Serif"/>
          <w:b w:val="false"/>
          <w:i w:val="false"/>
          <w:caps w:val="false"/>
          <w:smallCaps w:val="false"/>
          <w:sz w:val="20"/>
        </w:rPr>
        <w:t>” means the “Form of Fundamental Change Repurchase Notice” attached as Attachment 2 to the Form of Security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Notice of Conversion</w:t>
      </w:r>
      <w:r>
        <w:rPr>
          <w:rFonts w:ascii="Times New Roman;Times;Serif" w:hAnsi="Times New Roman;Times;Serif"/>
          <w:b w:val="false"/>
          <w:i w:val="false"/>
          <w:caps w:val="false"/>
          <w:smallCaps w:val="false"/>
          <w:sz w:val="20"/>
        </w:rPr>
        <w:t>” means the “Form of Notice of Conversion” attached as Attachment 1 to the Form of Security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Security</w:t>
      </w:r>
      <w:r>
        <w:rPr>
          <w:rFonts w:ascii="Times New Roman;Times;Serif" w:hAnsi="Times New Roman;Times;Serif"/>
          <w:b w:val="false"/>
          <w:i w:val="false"/>
          <w:caps w:val="false"/>
          <w:smallCaps w:val="false"/>
          <w:sz w:val="20"/>
        </w:rPr>
        <w:t>” means the “Form of Security”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Free Trade Date</w:t>
      </w:r>
      <w:r>
        <w:rPr>
          <w:rFonts w:ascii="Times New Roman;Times;Serif" w:hAnsi="Times New Roman;Times;Serif"/>
          <w:b w:val="false"/>
          <w:i w:val="false"/>
          <w:caps w:val="false"/>
          <w:smallCaps w:val="false"/>
          <w:sz w:val="20"/>
        </w:rPr>
        <w:t>” means, with respect to any Security, the date that is one year after the Last Original Issuance Date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Freely Tradable” </w:t>
      </w:r>
      <w:r>
        <w:rPr>
          <w:rFonts w:ascii="Times New Roman;Times;Serif" w:hAnsi="Times New Roman;Times;Serif"/>
          <w:b w:val="false"/>
          <w:i w:val="false"/>
          <w:caps w:val="false"/>
          <w:smallCaps w:val="false"/>
          <w:sz w:val="20"/>
        </w:rPr>
        <w:t xml:space="preserve">means, with respect to any Security, that such Security would be eligible to be offered, sold or otherwise transferred pursuant to Rule 144 or otherwise if held by a Person that is not an Affiliate of the Company, and that has not been an Affiliate of the Company during the immediately preceding three months, without any requirements as to volume, manner of sale, availability of current public information or notice under the Securities Act (except that, during the six-month period beginning on, and including, the date that is six months after the Last Original Issuance Date of such Security, any such requirement as to the availability of current public information will be disregarded if the same is satisfied at that time);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from and after the Free Trade Date of such Security, such Security will not be Freely Tradable unless such Security (x) is not identified by a restricted CUSIP or ISIN number and (y) is not represented by any certificate that bears the Restrictive Securities Legend. For the avoidance of doubt, whether a Security is deemed to be identified by an unrestricted CUSIP or ISIN number or deemed not to be represented by any certificate that bears the Restrictive Securities Legend is subject to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shall be deemed to have occurred at the time after the Securities are originally issued if any of the following occurs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 of the Exchange Act), other than the Company, its wholly-owned subsidiaries and its and their employee benefit plans files a Schedule TO or any schedule, form or report under the Exchange Act that discloses that such person or group has become the direct or indirect “beneficial owner,” as defined in Rule 13d-3 under the Exchange Act, of the Company’s Common Equity representing more than 50% of the voting power of the Company’s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Company pursuant to which the Common Stock shall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wholly-owned subsidiaries; provided, however, that a transaction described in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stockholders approve any plan or proposal for the liquidation or dissolution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(or other common stock underlying the Securities) ceases to be listed or quoted on any of The New York Stock Exchange, The Nasdaq Global Select Market or The Nasdaq Global Market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 or transactions described in clause (a) or clause (b) above will not constitute a Fundamental Change, however, if at least 90% of the consideration received or to be received by holders of the Common Stock, excluding cash payments for fractional shares,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Securities become convertible into such consideration, excluding cash payments for fractional shares (subject to Section 14.03).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immediately preceding paragraph, following the effective date of such transaction), references to the Company in this definition of “Fundamental Change” above shall instead be references to such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definition of “Fundamental Change” above, any transaction that constitutes a Fundamental Change pursuant to both clause (a) and clause (b) of such definition (without giving effect to the proviso in clause (b)) shall be deemed a Fundamental Change solely under clause (b) of such definition (subject to the proviso in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has the meaning specified in Section 15.02(b)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Expiration Time</w:t>
      </w:r>
      <w:r>
        <w:rPr>
          <w:rFonts w:ascii="Times New Roman;Times;Serif" w:hAnsi="Times New Roman;Times;Serif"/>
          <w:b w:val="false"/>
          <w:i w:val="false"/>
          <w:caps w:val="false"/>
          <w:smallCaps w:val="false"/>
          <w:sz w:val="20"/>
        </w:rPr>
        <w:t>” has the meaning specified in Section 15.02(a)(i)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has the meaning specified in Section 15.02(a)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has the meaning specified in Section 15.02(a)(i)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has the meaning specified in Section 15.02(a)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given,</w:t>
      </w:r>
      <w:r>
        <w:rPr>
          <w:rFonts w:ascii="Times New Roman;Times;Serif" w:hAnsi="Times New Roman;Times;Serif"/>
          <w:b w:val="false"/>
          <w:i w:val="false"/>
          <w:caps w:val="false"/>
          <w:smallCaps w:val="false"/>
          <w:sz w:val="20"/>
        </w:rPr>
        <w:t>” with respect to any notice to be given to a Holder pursuant to this Indenture, shall mean either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or sent via overnight courier at its address as it appears on the Note Register (in the case of a Physical Note), in each case, in accordance with Section 17.03. Notice so “given” shall be deemed to include any notice to be “mailed” or “delivered”, as applicable,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has the meaning specified in Section 2.05(b).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as applied to any Security, or other similar terms (but excluding the term “beneficial holder”), means any Person in whose name at the time a particular Security is registered on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if amended or supplemented as herein provided, as so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Dividend Threshold</w:t>
      </w:r>
      <w:r>
        <w:rPr>
          <w:rFonts w:ascii="Times New Roman;Times;Serif" w:hAnsi="Times New Roman;Times;Serif"/>
          <w:b w:val="false"/>
          <w:i w:val="false"/>
          <w:caps w:val="false"/>
          <w:smallCaps w:val="false"/>
          <w:sz w:val="20"/>
        </w:rPr>
        <w:t>” has the meaning specified in Section 14.04(d)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Purchasers</w:t>
      </w:r>
      <w:r>
        <w:rPr>
          <w:rFonts w:ascii="Times New Roman;Times;Serif" w:hAnsi="Times New Roman;Times;Serif"/>
          <w:b w:val="false"/>
          <w:i w:val="false"/>
          <w:caps w:val="false"/>
          <w:smallCaps w:val="false"/>
          <w:sz w:val="20"/>
        </w:rPr>
        <w:t>” means the several Initial Purchasers listed in Schedule 1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each January 1 and July 1 of each year, beginning on January 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with respect to the Securities,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Original Issuance Date</w:t>
      </w:r>
      <w:r>
        <w:rPr>
          <w:rFonts w:ascii="Times New Roman;Times;Serif" w:hAnsi="Times New Roman;Times;Serif"/>
          <w:b w:val="false"/>
          <w:i w:val="false"/>
          <w:caps w:val="false"/>
          <w:smallCaps w:val="false"/>
          <w:sz w:val="20"/>
        </w:rPr>
        <w:t>” means (a) with respect to the Securities offered pursuant to the Offering Memorandum, and any Securities issued in exchange therefor or in substitution thereof, date the Company first issues such Securities; and (b) with respect to any Securities issued pursuant to Section 2.10, and any Securities issued in exchange therefor or in substitution thereof, either (i) the later of (x) the date such Securities are originally issued and (y) the last date any Securities are originally issued as part of the same offering pursuant to the exercise of an option granted to the initial purchaser(s) of such Securities to purchase additional Securities; or (ii) such other date as is specified in an Officers’ Certificate delivered to the Trustee before the original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for any date means the closing sale price (or, if no closing sale price is reported, the average of the bid and ask prices or, if more than one in either case, the average of the average bid and the average ask prices) per share on that date as reported in composite transactions for the principal U.S. national or regional securities exchange on which the Common Stock is traded. If the Common Stock is not listed for trading on a U.S. national or regional securities exchange on the relevant Trading Day, the “Last Reported Sale Price” will be the last quoted bid price per share for the Common Stock in the over-the-counter market on the relevant date as reported by OTC Markets Group Inc. or a similar organization. If the Common Stock is not so quoted, the “Last Reported Sale Price” will be the average of the mid-point of the last bid and ask prices per share for the Common Stock on the relevant date from each of at least three nationally recognized independent investment banking firms selected by the Company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means any event that is a Fundamental Change determined after giving effect to any exceptions to or exclusions from such definition but without regard to the proviso in clause (b) of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Period</w:t>
      </w:r>
      <w:r>
        <w:rPr>
          <w:rFonts w:ascii="Times New Roman;Times;Serif" w:hAnsi="Times New Roman;Times;Serif"/>
          <w:b w:val="false"/>
          <w:i w:val="false"/>
          <w:caps w:val="false"/>
          <w:smallCaps w:val="false"/>
          <w:sz w:val="20"/>
        </w:rPr>
        <w:t>” has the meaning specified in Section 14.06(a)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for the purposes of determining amounts due upon conversion only,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with respect to any Security and the payment of the principal amount thereof, July 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has the meaning specified in Section 14.01(b)(ii)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with respect to any Security surrendered for conversion means: (i) if the relevant Conversion Date occurs prior to April 1, 2029, the 40 consecutive Trading Day period beginning on, and including, the second Trading Day immediately succeeding such Conversion Date; and (ii) if the relevant Conversion Date occurs on or after April 1, 2029, the 40 consecutive Trading Days beginning on, and including, the 41st Scheduled Trading Day immediately preceding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Offering Memorandum</w:t>
      </w:r>
      <w:r>
        <w:rPr>
          <w:rFonts w:ascii="Times New Roman;Times;Serif" w:hAnsi="Times New Roman;Times;Serif"/>
          <w:b w:val="false"/>
          <w:i w:val="false"/>
          <w:caps w:val="false"/>
          <w:smallCaps w:val="false"/>
          <w:sz w:val="20"/>
        </w:rPr>
        <w:t>” means the preliminary offering memorandum dated June 30, 2026, as supplemented by the related pricing term sheet dated June 30, 2026, relating to the offering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President, the Chief Executive Officer, the Treasurer, the Secretary, any Executive or Senior Vice President or any Vice President (whether or not designated by a number or numbers or word or words added before or after the 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when used with respect to the Company, means a certificate that is delivered to the Trustee and that is signed by (a) two of the Chairman of the Board of Directors, Vice Chairman of the Board of Directors or any Officers of the Company. Each such certificate shall include the statements provided for in Section 17.05 if and to the extent required by the provisions of such Section. One of the Officers giving an Officers’ Certificate pursuant to Section 4.08 shall be the principal executive, financial or accounting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Company, that is delivered to the Trustee, which may contain customary exceptions and qualifications as to the matters set forth therein and which legal counsel may, in providing such opinion, rely upon certifications or other representations as to matters of fact. Each such opinion shall include the statements provided for in Section 17.05 if and to the extent required by the provisions of such Section 17.05.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Securities, shall, subject to the provisions of Section 8.04, mean, as of any particular time, all Securities authenticated and delivered by the Trustee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theretofore canceled by the Trustee or accepted by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Securities,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Securities that have been paid pursuant to Section 2.06 or Securities in lieu of which, or in substitution for which, other Securities shall have been authenticated and delivered pursuant to the terms of Section 2.06 unless proof satisfactory to the Trustee is presented that any such Securities are held by protected purchasers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Securities converted pursuant to Article 14 and required to be cancelled pursuant to Section 2.08;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Securities repurchased by the Company pursuant to the penultimate sentence of Section 2.10.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has the meaning specified in Section 4.02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trust,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Securities</w:t>
      </w:r>
      <w:r>
        <w:rPr>
          <w:rFonts w:ascii="Times New Roman;Times;Serif" w:hAnsi="Times New Roman;Times;Serif"/>
          <w:b w:val="false"/>
          <w:i w:val="false"/>
          <w:caps w:val="false"/>
          <w:smallCaps w:val="false"/>
          <w:sz w:val="20"/>
        </w:rPr>
        <w:t>” means permanent certificated Securities in registered form issued in denominations of $1,000 principal amount and integral multiples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2.06 in lieu of or in exchange for a mutilated, lost, destroyed or stolen Security shall be deemed to evidence the same debt as the mutilated, lost, destroyed or stolen Security that it replaces.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that certain Purchase Agreement, dated June 30, 2026, between the Company and the representative of the Initial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Qualified Successor Entity</w:t>
      </w:r>
      <w:r>
        <w:rPr>
          <w:rFonts w:ascii="Times New Roman;Times;Serif" w:hAnsi="Times New Roman;Times;Serif"/>
          <w:b w:val="false"/>
          <w:i w:val="false"/>
          <w:caps w:val="false"/>
          <w:smallCaps w:val="false"/>
          <w:sz w:val="20"/>
        </w:rPr>
        <w:t xml:space="preserve">” means, with respect to a Business Combination Event, a corporation;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limited liability company, limited partnership or other similar entity will also constitute a Qualified Successor Entity with respect to such Business Combination Event if either (i) such Business Combination Event is an Exempted Fundamental Change; or (ii) both of the following conditions are satisfied: (1)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(A) the Company has received an opinion of a nationally recognized tax counsel to the effect that such Business Combination Event will not be treated as an exchange under Section 1001 of the Internal Revenue Code of 1986, as amended, for Holders or beneficial owners of the Securities and (B) if such limited liability company, limited partnership or other similar entity is treated as a disregarded entity, its regarded parent is treated as a “United States person” under Section 7701(a)(30) of the Internal Revenue Code of 1986, as amended; and (2) such Business Combination Event constitutes a Common Stock Change Event whose Reference Property consists solely of any combination of cash in U.S. dollars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a direct or indirect parent of the limited liability company, limited partnership or similar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with respect to any dividend, distribution or other transaction or event in which the holders of the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statute,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has the meaning specified in Section 14.07(a)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means, with respect to any Interest Payment Date, the December 15 (whether or not a Business Day) or the June 15 (whether or not a Business Day), as the case may be, immediately preceding such Interest Payment Date (whether or not such date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has the meaning specified in Section 6.03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has the meaning specified in Section 2.05(c)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has the meaning specified in Section 2.05(c)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Restrictive Securities Legend</w:t>
      </w:r>
      <w:r>
        <w:rPr>
          <w:rFonts w:ascii="Times New Roman;Times;Serif" w:hAnsi="Times New Roman;Times;Serif"/>
          <w:b w:val="false"/>
          <w:i w:val="false"/>
          <w:caps w:val="false"/>
          <w:smallCaps w:val="false"/>
          <w:sz w:val="20"/>
        </w:rPr>
        <w:t>” has the meaning specified in Section 2.05(c)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United States Securities Act of 1933 and any statute successor thereto, in each case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specified in the first paragraph of the recitals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has the meaning specified in Section 2.05(a)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 has the meaning specified in Section 2.05(a)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has the meaning specified in Section 14.03(a)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with respect to any conversion of Securities, Cash Settlement or Combination Settlement, as elected (or deemed to have been 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has the meaning specified in Section 14.03(a)(iv)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with respect to any Person, a Subsidiary of such Person that would constitute a “significant subsidiary” as such term is defined in Article 1, Rule 1-02 of Regulation S-X, promulgated pursuant to the Securities Act, as in effect on the original date of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has the meaning specified in Section 14.03(a)(vi)(A)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has the meaning specified in Section 14.04(c)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Stated Interest</w:t>
      </w:r>
      <w:r>
        <w:rPr>
          <w:rFonts w:ascii="Times New Roman;Times;Serif" w:hAnsi="Times New Roman;Times;Serif"/>
          <w:b w:val="false"/>
          <w:i w:val="false"/>
          <w:caps w:val="false"/>
          <w:smallCaps w:val="false"/>
          <w:sz w:val="20"/>
        </w:rPr>
        <w:t>” has the meaning specified in Section 2.03(a)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has the meaning specified in Section 14.06(c)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 corporation or limited liability Company more than 50% of the outstanding voting stock of which is owned, directly or indirectly, by the Company or by one or more other Subsidiaries, or by the Company and one or more other Subsidiaries. For the purposes of this definition, “voting-stock” means the equity interest that ordinarily has voting power for the election of directors, managers or trustees of an entity, or persons performing similar functions, whether at all times or only so long as no senior class of equity interest has such voting power by reason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has the meaning specified in Section 11.01(a)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except for purposes of determining amounts due upon conversion, a day on which (i) trading in the Common Stock (or other security for which a closing sale price must be determined) generally occurs on The New York Stock Exchange or, if the Common Stock (or such other security) is not then listed on The New York Stock Exchange,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If the Common Stock (or such other security) is not so listed or traded,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determining amounts due upon conversion only, “Trading Day” means a day on which (i) there is no Market Disruption Event and (ii) trading in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If the Common Stock is not so listed or admitted for trading,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Price</w:t>
      </w:r>
      <w:r>
        <w:rPr>
          <w:rFonts w:ascii="Times New Roman;Times;Serif" w:hAnsi="Times New Roman;Times;Serif"/>
          <w:b w:val="false"/>
          <w:i w:val="false"/>
          <w:caps w:val="false"/>
          <w:smallCaps w:val="false"/>
          <w:sz w:val="20"/>
        </w:rPr>
        <w:t xml:space="preserve">” of the Securities on any date of determination means the average of the secondary market bid quotations per $1,000 principal amount of Securities obtained by the Bid Solicitation Agent for $1,000,000 principal amount of Securities at approximately 3:30 p.m., New York City time, on such determination date from three independent nationally recognized securities dealers selected for this purpose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$1,000,000 principal amount of Securities from a nationally recognized securities dealer, then the Trading Price per $1,000 principal amount of Securities will be deemed to be less than 98% of the product of (i) the Last Reported Sale Price of the Common Stock on such date of determination and (ii) the Conversion Rate in effect on such determination date. If (x) the Company is not acting as Bid Solicitation Agent and the Company does not, when it is required to, instruct the Bid Solicitation Agent to obtain bids or if the Company gives such instruction to the Bid Solicitation Agent and the Bid Solicitation Agent fails to make such determination, or (y) the Company is acting as Bid Solicitation Agent and the Company fails to make such determination, then, in either case, the Trading Price per $1,000 principal amount of Securities will be deemed to be less than 98% of the product of (i) the Last Reported Sale Price of the Common Stock on such Trading Day and (ii) the Conversion Rate in effect on such Trading Day for each Trading Day of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has the meaning specified in Section 2.05(c)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has the meaning specified in Section 14.04(c)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United States Trust Indenture Act of 1939 as in force at the date as of which this instrument was executed; provided, however</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that in the event the Trust Indenture Act of 1939 is amended after such date, “Trust Indenture Act” means, to the extent required by any such amendment, the Trust Indenture Act of 1939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has the meaning specified in Section 14.07(a)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Valuation Period</w:t>
      </w:r>
      <w:r>
        <w:rPr>
          <w:rFonts w:ascii="Times New Roman;Times;Serif" w:hAnsi="Times New Roman;Times;Serif"/>
          <w:b w:val="false"/>
          <w:i w:val="false"/>
          <w:caps w:val="false"/>
          <w:smallCaps w:val="false"/>
          <w:sz w:val="20"/>
        </w:rPr>
        <w:t>” has the meaning specified in Section 14.04(c)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rPr>
        <w:t>References to Interest.</w:t>
      </w:r>
      <w:r>
        <w:rPr>
          <w:rFonts w:ascii="Times New Roman;Times;Serif" w:hAnsi="Times New Roman;Times;Serif"/>
          <w:b w:val="false"/>
          <w:i w:val="false"/>
          <w:caps w:val="false"/>
          <w:smallCaps w:val="false"/>
          <w:sz w:val="20"/>
        </w:rPr>
        <w:t xml:space="preserve"> Unless the context otherwise requires, any reference to interest on, or in respect of, any Security in this Indenture shall be deemed to include Default Interest and Additional Interest if, in such context, Default Interest and/or Additional Interest is, was or would be payable pursuant to any of Section 2.03(c), Section 4.06(d), Section 4.06(e) or Section 6.03. Unless the context otherwise requires, any express mention of Default Interest and/or Additional Interest in any provision hereof shall not be construed as excluding Default Interest and/or Additional Interest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Issue, Description, Execution, Registration and 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Designation and Amount.</w:t>
      </w:r>
      <w:r>
        <w:rPr>
          <w:rFonts w:ascii="Times New Roman;Times;Serif" w:hAnsi="Times New Roman;Times;Serif"/>
          <w:b w:val="false"/>
          <w:i w:val="false"/>
          <w:caps w:val="false"/>
          <w:smallCaps w:val="false"/>
          <w:sz w:val="20"/>
        </w:rPr>
        <w:t xml:space="preserve"> The Securities shall be designated as the “6.25% Convertible Senior Notes due 2029.” The aggregate principal amount of Securities that may be authenticated and delivered under this Indenture is initially limited to $375,000,000, subject to Section 2.10 and except for Securities authenticated and delivered upon registration or transfer of, or in exchange for, or in lieu of other Securities to the extent expressly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Form of Securities.</w:t>
      </w:r>
      <w:r>
        <w:rPr>
          <w:rFonts w:ascii="Times New Roman;Times;Serif" w:hAnsi="Times New Roman;Times;Serif"/>
          <w:b w:val="false"/>
          <w:i w:val="false"/>
          <w:caps w:val="false"/>
          <w:smallCaps w:val="false"/>
          <w:sz w:val="20"/>
        </w:rPr>
        <w:t xml:space="preserve"> The Securities and the Trustee’s certificate of authentication to be borne by such Securities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However, to the extent that any provision of any Security conflicts with the express provisions of this Indenture, the provisions of this Indenture will govern and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Global Security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Securities may be listed or traded or designated for issuance or to conform with any usage with respect thereto, or to indicate any special limitations or restrictions to which any particular Securities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Securities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Securities may be listed or designated for issuance, or to conform to usage or to indicate any special limitations or restrictions to which any particular Securities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Security shall represent such principal amount of the outstanding Securities as shall be specified therein and shall provide that it shall represent the aggregate principal amount of outstanding Securities from time to time endorsed thereon and that the aggregate principal amount of outstanding Securities represented thereby may from time to time be increased or reduced to reflect repurchases, cancellations, conversions, transfers or exchanges permitted hereby. Any endorsement of a Global Security to reflect the amount of any increase or decrease in the amount of outstanding Securities represented thereby shall be made by the Trustee or the Custodian, at the direction of the Trustee, in such manner and upon instructions given by the Holder of such Securities in accordance with this Indenture. Payment of principal (including the Fundamental Change Repurchase Price, if applicable) of, and accrued and unpaid interest on, a Global Security shall be made to the Holder of such Security on the date of payment, unless a record date or other means of determining Holders eligible to receive payment is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Date and Denomination of Securities; Payments of Interest and Defaulted Amounts</w:t>
      </w:r>
      <w:r>
        <w:rPr>
          <w:rFonts w:ascii="Times New Roman;Times;Serif" w:hAnsi="Times New Roman;Times;Serif"/>
          <w:b w:val="false"/>
          <w:i w:val="false"/>
          <w:caps w:val="false"/>
          <w:smallCaps w:val="false"/>
          <w:sz w:val="20"/>
        </w:rPr>
        <w:t>. (a) The Securities shall be issuable in registered form without coupons in denominations of $1,000 principal amount and integral multiples thereof. Each Security shall be dated the date of its authentication. Each Security will accrue interest at a rate per annum equal to 6.25% (the “</w:t>
      </w:r>
      <w:r>
        <w:rPr>
          <w:rFonts w:ascii="Times New Roman;Times;Serif" w:hAnsi="Times New Roman;Times;Serif"/>
          <w:b/>
          <w:i w:val="false"/>
          <w:caps w:val="false"/>
          <w:smallCaps w:val="false"/>
          <w:sz w:val="20"/>
        </w:rPr>
        <w:t>Stated Interest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Default Interest or Additional Interest that may accrue pursuant to Section 2.03(c) or Section 4.06(d), Section 4.06(e) and Section 6.03, respectively. and shall bear interest from the date specified on the face of such Security. Accrued interest on the Securities shall be computed on the basis of a 360-day year composed of twelve 30-day months and, for partial months, on the basis of the number of days actually elapsed in a 30-day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in whose name any Security (or its Predecessor Security) is registered on the Security Register at the Close of Business on any Regular Record Date with respect to any Interest Payment Date shall be entitled to receive the interest payable on such Interest Payment Date. The Company shall pay, or cause the Paying Agent to pay, the principal amount of any Security (x) in the case of any Physical Security, at the office or agency of the Company designated by the Company for such purposes, which shall initially be the Corporate Trust Office and (y) in the case of any Global Security, in immediately available funds to the account of the Depositary or its nominee. The Company shall pay, or cause the Paying Agent to pay, interest (i) on any Physical Securities (A) to Holders holding Physical Securities having an aggregate principal amount of $5,000,000 or less, by check mailed to the Holders of these Securities at their address as it appears in the Security Register and (B) to Holders holding Physical Securities having an aggregate principal amount of more than $5,000,000, either by check mailed to each Holder or, upon application by such a Holder to the Paying Agent not later than the relevant Regular Record Date, by wire transfer in immediately available funds to that Holder’s account within the United States, if such Holder has provided the Company, the Trustee and the Paying Agent (if other than the Trustee) with the requisite information necessary to make such wire transfer, which application shall remain in effect until such Holder notifies, in writing, the Paying Agent to the contrary, or (ii) on any Global Security in immediately available funds to the account of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Defaulted Amounts shall forthwith cease to be payable to the Holder on the relevant payment date but shall accrue interest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per annum at the rate borne by the Securities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percent, subject to the enforceability thereof under applicable law, from, and including, such relevant payment date, and such Defaulted Amounts together with such Default Interest shall be paid by the Company, at its election in each case, as provided in clause (i) or (ii)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elect to make payment of any Defaulted Amounts and Default Interest to the Persons in whose names the Securities (or their respective Predecessor Securities) are registered at the Close of Business on a special record date for the payment of such Defaulted Amounts and Default Interest, which shall be fixed in the following manner. The Company shall notify the Trustee in writing of the amount of the Defaulted Amounts and Default Interest proposed to be paid on each Security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and such Default Interest or shall make arrangements satisfactory to the Trustee for such deposit on or prior to the date of the proposed payment, such money when deposited to be held in trust for the benefit of the Persons entitled to such Defaulted Amounts and such Default Interest as in this clause provided. Thereupon the Company shall fix a special record date for the payment of such Defaulted Amounts and such Default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Company, or the Trustee at the request of and, in the name and at the expense of the Company, shall cause notice of the proposed payment of such Defaulted Amounts and such Default Interest and the special record date therefor to be delivered to each Holder not less than 10 days prior to such special record date. Notice of the proposed payment of such Defaulted Amounts and such Default Interest and the special record date therefor having been so delivered, such Defaulted Amounts and such Default Interest shall be paid to the Persons in whose names the Securities (or their respective Predecessor Securities) are registered at the Close of Business on such special record date and shall no longer be payable pursuant to the following clause (ii) of this Section 2.03(c).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make payment of any Defaulted Amounts and Default Interest in any other lawful manner not inconsistent with the requirements of any securities exchange or automated quotation system on which the Securities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first date on which any Additional Interest begins to accrue on any Global Security is on or after the fifth (5th) Business Day before a Regular Record Date and before the next Interest Payment Date, then, notwithstanding anything to the contrary in this Indenture or the Securities,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will be payable on the immediately succeeding Interest Payment Date (and, for the avoidance of doubt, no interest will accrue as a result of the related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Execution, Authentication and Delivery of Securities.</w:t>
      </w:r>
      <w:r>
        <w:rPr>
          <w:rFonts w:ascii="Times New Roman;Times;Serif" w:hAnsi="Times New Roman;Times;Serif"/>
          <w:b w:val="false"/>
          <w:i w:val="false"/>
          <w:caps w:val="false"/>
          <w:smallCaps w:val="false"/>
          <w:sz w:val="20"/>
        </w:rPr>
        <w:t xml:space="preserve"> The Securities shall be signed in the name and on behalf of the Company by the manual or facsimile signature of its Chairman of the Board of Directors, Vice Chairman of the Board of Directors or any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 without any further action by the Company hereunder; provided that, subject to Section 17.05, the Trustee shall receive an Officers’ Certificate and an Opinion of Counsel of the Company with respect to any issuance, authentication and delivery of such Notes occurring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such Securities as shall bear thereon a certificate of authentication substantially in the form set forth on the Form of Security attached as Exhibit A hereto, executed manually by an authorized officer of the Trustee (or an authenticating agent appointed by the Trustee as provided by Section 17.10), shall be entitled to the benefits of this Indenture or be valid or obligatory for any purpose. Such certificate by the Trustee (or such an authenticating agent) upon any Security executed by the Company shall be conclusive evidence that the Security so authenticated has been duly authenticated and delivered hereunder and that the Holder is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Chairman or Vice Chairman of the Board of Directors or the Officer of the Company who shall have signed any of the Securities shall cease to be such Chairman, Vice Chairman or Officer before the Securities so signed shall have been authenticated and delivered by the Trustee, or disposed of by the Company, such Securities nevertheless may be authenticated and delivered or disposed of as though the person who signed such Securities had not ceased to be such Chairman, Vice Chairman or Officer; and any Security may be signed on behalf of the Company by such persons as, at the actual date of the execution of such Security, shall be the Chairman or Vice Chairman of the Board of Directors or any Officers of the Company, although at the date of the execution of this Indenture any such person was not such a Chairman, Vice Chairman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Exchange and Registration of Transfer of Securities; Restrictions on Transfer; Depositary.</w:t>
      </w:r>
      <w:r>
        <w:rPr>
          <w:rFonts w:ascii="Times New Roman;Times;Serif" w:hAnsi="Times New Roman;Times;Serif"/>
          <w:b w:val="false"/>
          <w:i w:val="false"/>
          <w:caps w:val="false"/>
          <w:smallCaps w:val="false"/>
          <w:sz w:val="20"/>
        </w:rPr>
        <w:t xml:space="preserve"> (a) The Company shall cause to be kept at the Corporate Trust Office a register (the register maintained in such office or in any other office or agency of the Company designated pursuant to Section 4.02,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Securities and of transfers of Securities. Such register shall be in written form or in any form capable of being converted into written form within a reasonable period of time. The Trustee is hereby initially appointed the “</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 for the purpose of registering Securities and transfers of Securities as herein provided. The Company may appoint one or more co-Security Registrars in accordance with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Security to the Security Registrar or any co-Security Registrar, and satisfaction of the requirements for such transfer set forth in this Section 2.05, the Company shall execute, and the Trustee shall authenticate and deliver, in the name of the designated transferee or transferees, one or more new Securities of any authorized denominations and of a like aggregate principal amount and bearing such restrictive legends as may be required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exchanged for other Securities of any authorized denominations and of a like aggregate principal amount, upon surrender of the Securities to be exchanged at any such office or agency maintained by the Company pursuant to Section 4.02. Whenever any Securities are so surrendered for exchange, the Company shall execute, and the Trustee shall authenticate and deliver, the Securities that the Holder making the exchange is entitled to receive, bearing registration numbers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registration of transfer or for exchange, repurchase or conversion shall (if so required by the Company, the Trustee, the Security Registrar or any co-Security Registrar) be duly endorsed, or be accompanied by a written instrument or instruments of transfer in form satisfactory to the Company and duly executed, by the Holder thereof or its attorney-in-fact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imposed by the Company, the Trustee, the Security Registrar, any co-Security Registrar or the Paying Agent for any exchange or registration of transfer of Securities, but the Company may require a Holder to pay a sum sufficient to cover any documentary, stamp or similar issue or transfer tax required in connection therewith as a result of the name of the Holder of new Securities issued upon such exchange or registration of transfer being different from the name of the Holder of the old Securities surrendered for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the Security Registrar or any co-Security Registrar shall be required to exchange or register a transfer of (i) any Securities surrendered for conversion or, if a portion of any Security is surrendered for conversion, such portion thereof surrendered for conversion or (ii) any Securities, or a portion of any Security, surrendered for repurchase (and not withdrawn) in accordance with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registration of transfer or exchange of Securities in accordance with this Indenture shall be the valid obligations of the Company, evidencing the same debt, and entitled to the same benefits under this Indenture as the Securities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 between or among Depositary participants or beneficial owners of interest in any Global Note) other than to require delivery of such certificates and other documentation or evidence as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Paying Agent, Conversion Agent or any agent of them shall have any responsibility or liability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the Securities are eligible for book-entry settlement with the Depositary, unless otherwise required by law, subject to the fourth paragraph from the end of Section 2.05(c) all Securities shall be represented by one or more Securities in global form (each, a “</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registered in the name of the Depositary or the nominee of the Depositary. The transfer and exchange of beneficial interests in a Global Security that does not involve the issuance of a Physical Security shall be effected through the Depositary (but not the Trustee or the Custodian) in accordance with this Indenture (including the restrictions on transfer set forth herein) and the procedures of the Depositary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Every Security that bears or is required under this Section 2.05(c) to bear the Restrictive Securities Legend (together with any Common Stock issued upon conversion of the Securities that is required to bear the legend set forth in Section 2.05(d), collectively, the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be subject to the restrictions on transfer set forth in this Section 2.05(c) (including the Restrictive Securities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encompasses any sale, pledge, transfer or other disposition whatsoever of any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that is the later of (1) the date that is one year after the Last Original Issuance Date of the Securities, or such shorter period of time as permitted by Rule 144 or any successor provision thereto, and (2) such later date, if any, as may be required by applicable law, any certificate evidencing such Security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Times New Roman;Times;Serif" w:hAnsi="Times New Roman;Times;Serif"/>
          <w:b/>
          <w:i w:val="false"/>
          <w:caps w:val="false"/>
          <w:smallCaps w:val="false"/>
          <w:sz w:val="20"/>
        </w:rPr>
        <w:t>Restrictive Securities Legend</w:t>
      </w:r>
      <w:r>
        <w:rPr>
          <w:rFonts w:ascii="Times New Roman;Times;Serif" w:hAnsi="Times New Roman;Times;Serif"/>
          <w:b w:val="false"/>
          <w:i w:val="false"/>
          <w:caps w:val="false"/>
          <w:smallCaps w:val="false"/>
          <w:sz w:val="20"/>
        </w:rPr>
        <w:t>”) (unless such Securities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CONVERSION OF THIS SECURITY HAVE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ARBOR REALTY TRUST,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any Security prior to the Resale Restriction Termination Date will be registered by the Security Registrar unless the applicable box on the Form of Assignment and Transfer has been checked.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(or security issued in exchange or substitution therefor) as to which such restrictions on transfer shall have expired in accordance with their terms, may, upon surrender of such Security for exchange to the Security Registrar in accordance with the provisions of this Section 2.05, be exchanged for a new Security or Securities, of like tenor and aggregate principal amount, which shall not bear the Restrictive Securities Legend required by this Section 2.05(c) and shall not be assigned a restricted CUSIP number. The Company shall be entitled to instruct the Custodian in writing to so surrender any Global Security as to which such restrictions on transfer shall have expired in accordance with their terms for exchange, and, upon such instruction, the Custodian shall so surrender such Global Security for exchange; and any new Global Security so exchanged therefor shall not bear the Restrictive Securities Legend specified in this Section 2.05(c) and shall not be assigned a restricted CUSIP number. The Company shall promptly notify the Trustee upon the occurrence of the Resale Restriction Termination Date and promptly after a registration statement, if any, with respect to the Securities or any Common Stock issued upon conversion of the Securities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Company sends notice to the Trustee that the Restrictive Securities Legend affixed to any Security no longer applies, then such legend will be deemed to be removed from such Security and such Security will be deemed to be identified by the unrestricted CUSIP and ISIN numbers that the Company has obtained for the Securities in connection with the offering. However, if such Security is a Global Security and DTC requires a mandatory exchange or other procedure to cause such Global Security to be identified by unrestricted CUSIP and ISIN numbers in its facilities, then (x) the Company will effect such exchange or procedure as soon as reasonably practicable and (y) for purposes of the definition of “Freely Tradable” and Section 4.06, such Global Security will not be deemed to be identified by unrestricted CUSIP and ISIN numbers until such time as the exchange or procedure is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Indenture (other than the provisions set forth in this Section 2.05(c)), a Global Security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Security or a portion thereof for one or more Physical Securities in accordance with the second immediately succeeding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be a clearing agency registered under the Exchange Act. The Company initially appoints The Depository Trust Company to act as Depositary with respect to each Global Security. Initially, each Global Security shall be issued to the Depositary, registered in the name of Cede &amp; Co., as the nominee of the Depositary, and deposited with the Trustee as custodian for Cede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Depositary notifies the Company at any time that the Depositary is unwilling or unable to continue as depositary for the Global Securities and a successor depositary is not appointed within 90 days, (ii) the Depositary ceases to be registered as a clearing agency under the Exchange Act and a successor depositary is not appointed within 90 days or (iii) an Event of Default with respect to the Securities has occurred and is continuing and a beneficial owner of any Security requests that its beneficial interest therein be issued as a Physical Security, the Company shall execute, and the Trustee, upon receipt of an Officers’ Certificate, an Opinion of Counsel and a Company Order for the authentication and delivery of Securities, shall authenticate and deliver (x) in the case of clause (iii), a Physical Security to such beneficial owner in a principal amount equal to the principal amount of such Security corresponding to such beneficial owner’s beneficial interest and (y) in the case of clause (i) or (ii), Physical Securities to each beneficial owner of the related Global Securities (or a portion thereof) in an aggregate principal amount equal to the aggregate principal amount of such Global Securities in exchange for such Global Securities, and upon delivery of the Global Securities to the Trustee such Global Securities shall be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Securities issued in exchange for all or a part of the Global Security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Securities to the Persons in whose names such Physical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all interests in a Global Security have been converted, canceled, repurchased or transferred, such Global Security shall be, upon receipt thereof, canceled by the Trustee in accordance with standing procedures and existing instructions between the Depositary and the Custodian. At any time prior to such cancellation, if any interest in a Global Security is exchanged for Physical Securities, converted, canceled, repurchased or transferred to a transferee who receives Physical Securities therefor or any Physical Security is exchanged or transferred for part of such Global Security, the principal amount of such Global Security shall, in accordance with the standing procedures and instructions existing between the Depositary and the Custodian, be appropriately reduced or increased, as the case may be, and an endorsement shall be made on such Global Security, by the Trustee or the Custodian, at the direction of the Trustee, to reflect such reduction or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Trustee, Paying Agent or Conversion Agent shall have any responsibility or liability for any act or omission of the Depositary or for any operations or procedures of the Depositary. None of the Company, the Trustee, the Paying Agent, the Conversion Agent or any agent of the Company or the Trustee shall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Resale Restriction Termination Date, any stock certificate representing Common Stock issued upon conversion of a Security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Security that has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ARBOR REALTY TRUST,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OR ANY BENEFICIAL INTEREST HEREIN PRIOR TO THE DATE THAT IS THE LATER OF (X) ONE YEAR AFTER THE LAST ORIGINAL ISSUE DATE OF THE SERIES OF SECURITIES UPON THE CONVERSION OF WHICH THIS SECURITY WAS ISSUED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Security or Common Stock issued upon the conversion or exchange of a Security that is repurchased or owned by any Affiliate of the Company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Security or Common Stock, as the case may be, no longer being a “restricted security” (as defined under Rule 144). The Company shall cause any Security that is repurchased or owned by it to be surrendered to the Trustee for cancellation in accordance with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Mutilated, Destroyed, Lost or Stolen Securities.</w:t>
      </w:r>
      <w:r>
        <w:rPr>
          <w:rFonts w:ascii="Times New Roman;Times;Serif" w:hAnsi="Times New Roman;Times;Serif"/>
          <w:b w:val="false"/>
          <w:i w:val="false"/>
          <w:caps w:val="false"/>
          <w:smallCaps w:val="false"/>
          <w:sz w:val="20"/>
        </w:rPr>
        <w:t xml:space="preserve"> In case any Security shall become mutilated or be destroyed, lost or stolen, the Company in its discretion may execute, and upon its written request the Trustee or an authenticating agent appointed by the Trustee shall authenticate and deliver, a new Security, bearing a registration number not contemporaneously outstanding, in exchange and substitution for the mutilated Security, or in lieu of and in substitution for the Security so destroyed, lost or stolen. In every case the applicant for a substituted Security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Security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such authenticating agent may authenticate any such substituted Security and deliver the same upon the receipt of a Company Order and such security or indemnity as the Trustee, the Company and, if applicable, such authenticating agent may require. No service charge shall be imposed by the Company, the Trustee, the Security Registrar, any co-Security Registrar or the Paying Agent upon the issuance of any substitute Security, but the Company may require a Holder to pay a sum sufficient to cover any documentary, stamp or similar issue or transfer tax required in connection therewith as a result of the name of the Holder of the new substitute Security being different from the name of the Holder of the old Security that became mutilated or was destroyed, lost or stolen. In case any Security that has matured or is about to mature or has been surrendered for required repurchase or is about to be converted in accordance with Article 14 shall become mutilated or be destroyed, lost or stolen, the Company may, in its sole discretion, instead of issuing a substitute Security, pay or authorize the payment of or convert or authorize the conversion of the same (without surrender thereof except in the case of a mutilated Security),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of the destruction, loss or theft of such Security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Security issued pursuant to the provisions of this Section 2.06 by virtue of the fact that any Security is destroyed, lost or stolen shall constitute an additional contractual obligation of the Company, whether or not the destroyed, lost or stolen Security shall be found at any time, and shall be entitled to all the benefits of (but shall be subject to all the limitations set forth in) this Indenture equally and proportionately with any and all other Securities duly issued hereunder. To the extent permitted by law, all Securities shall be held and owned upon the express condition that the foregoing provisions are exclusive with respect to the replacement, payment, conversion or repurchase of mutilated, destroyed, lost or stolen Securities and shall preclude any and all other rights or remedies notwithstanding any law or statute existing or hereafter enacted to the contrary with respect to the replacement, payment, conversion or repurchase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Temporary Securities.</w:t>
      </w:r>
      <w:r>
        <w:rPr>
          <w:rFonts w:ascii="Times New Roman;Times;Serif" w:hAnsi="Times New Roman;Times;Serif"/>
          <w:b w:val="false"/>
          <w:i w:val="false"/>
          <w:caps w:val="false"/>
          <w:smallCaps w:val="false"/>
          <w:sz w:val="20"/>
        </w:rPr>
        <w:t xml:space="preserve"> Pending the preparation of Physical Securities, the Company may execute and the Trustee or an authenticating agent appointed by the Trustee shall, upon written request of the Company in a Company Order, authenticate and deliver temporary Securities (printed or lithographed). Temporary Securities shall be issuable in any authorized denomination, and substantially in the form of the Physical Securities but with such omissions, insertions and variations as may be appropriate for temporary Securities, all as may be determined by the Company. Every such temporary Security shall be executed by the Company and authenticated by the Trustee or such authenticating agent upon the same conditions and in substantially the same manner, and with the same effect, as the Physical Securities. Without unreasonable delay, the Company shall execute and deliver to the Trustee or such authenticating agent Physical Securities (other than any Global Security) and thereupon any or all temporary Securities (other than any Global Security) may be surrendered in exchange therefor, at each office or agency maintained by the Company pursuant to Section 4.02 and the Trustee or such authenticating agent shall authenticate and deliver in exchange for such temporary Securities an equal aggregate principal amount of Physical Securities. Such exchange shall be made by the Company at its own expense and without any charge therefor. Until so exchanged, the temporary Securities shall in all respects be entitled to the same benefits and subject to the same limitations under this Indenture as Physical Securities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Cancellation of Securities Paid, Converted, Etc.</w:t>
      </w:r>
      <w:r>
        <w:rPr>
          <w:rFonts w:ascii="Times New Roman;Times;Serif" w:hAnsi="Times New Roman;Times;Serif"/>
          <w:b w:val="false"/>
          <w:i w:val="false"/>
          <w:caps w:val="false"/>
          <w:smallCaps w:val="false"/>
          <w:sz w:val="20"/>
        </w:rPr>
        <w:t xml:space="preserve"> The Company shall cause all Securities surrendered for the purpose of payment, repurchase, registration of transfer or exchange or conversion, if surrendered to any Person other than the Trustee (including any of the Company’s agents, Subsidiaries or Affiliates), to be surrendered to the Trustee for cancellation. All Securities delivered to the Trustee shall be canceled promptly by it in accordance with its customary procedures upon receipt of the Company’s written request in a Company Order to cancel such Securities. Except for any Securities surrendered for registration of transfer or exchange, or as otherwise expressly permitted by any of the provisions of this Indenture, no Securities shall be authenticated in exchange for any Securities surrendered to the Trustee for cancellation. The Trustee shall dispose of canceled Securities in accordance with its customary procedures and, after such disposition, shall deliver a certificate of such disposition to the Company, at the Company’s written request in a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xml:space="preserve"> The Company in issuing the Securities may use “CUSIP” numbers (if then generally in use), and, if so, the Trustee shall use “CUSIP” numbers in all notices issued to Holders as a convenience to such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shall have no liability for any defect in the CUSIP number as they appear on any Notes, notice or elsewhere and that any such notice may state that no representation is made as to the correctness of such numbers either as printed on the Securities or on such notice and that reliance may be placed only on the other identification numbers printed on the Securities. The Company shall promptly notify the Trustee in writing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Additional Securities; Repurchases.</w:t>
      </w:r>
      <w:r>
        <w:rPr>
          <w:rFonts w:ascii="Times New Roman;Times;Serif" w:hAnsi="Times New Roman;Times;Serif"/>
          <w:b w:val="false"/>
          <w:i w:val="false"/>
          <w:caps w:val="false"/>
          <w:smallCaps w:val="false"/>
          <w:sz w:val="20"/>
        </w:rPr>
        <w:t xml:space="preserve"> The Company may, without the consent of, or notice to, the Holders and notwithstanding Section 2.01, reopen this Indenture and issue additional Securities hereunder with the same terms as the Securities initially issued hereunder (other than differences in the issue date, issue price, interest accrued prior to the issue date of such additional Securities and, if applicable, restrictions on transfer in respect of such additional Securities) in an unlimited aggregate principal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additional Securities are not fungible with the Securities initially issued hereunder for U.S. federal income tax law purposes, such additional Securities shall have one or more separate CUSIP numbers. The Securities issued under this Indenture and any such additional Securities would rank equally and ratably and would be treated as a single series for all purposes under this Indenture (except to the extent set forth in the immediately preceding sentence). Prior to the issuance of any such additional Securities,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Securities are surrendered to the Company), repurchase Securities in the open market or otherwise, whether by the Company or its Subsidiaries or through a private or public tender or exchange offer or through counterparties pursuant to private agreements, including by cash-settled swaps or other derivatives. The Company shall cause any Securities so repurchased (other than Securities repurchased pursuant to cash-settled swaps or other cash-settled derivatives) to be surrendered to the Trustee for cancellation in accordance with Section 2.08 and such Securities shall no longer be considered outstanding under this Indenture upon their repurchase and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Satisfaction and Discharge.</w:t>
      </w:r>
      <w:r>
        <w:rPr>
          <w:rFonts w:ascii="Times New Roman;Times;Serif" w:hAnsi="Times New Roman;Times;Serif"/>
          <w:b w:val="false"/>
          <w:i w:val="false"/>
          <w:caps w:val="false"/>
          <w:smallCaps w:val="false"/>
          <w:sz w:val="20"/>
        </w:rPr>
        <w:t xml:space="preserve"> When (a) the Company shall deliver to the Security Registrar for cancellation all Securities theretofore authenticated (other than any Securities that have been destroyed, lost or stolen and in lieu of or in substitution for which other Securities shall have been authenticated and delivered) and not theretofore canceled, or (b) all the Securities not theretofore canceled or delivered to the Trustee for cancellation shall have become due and payable (whether on the Maturity Date, on any Fundamental Change Repurchase Date, upon conversion or otherwise) and the Company shall deposit with the Trustee, in trust, or deliver to the Holders, as applicable, an amount of cash or the combination of cash and shares of Common Stock (or, if applicable, Reference Property), if any, as the case may be (solely to settle amounts due with respect to outstanding conversions), sufficient to pay all amounts due on all of such Securities (other than any Securities that shall have been mutilated, destroyed, lost or stolen and in lieu of or in substitution for which other Securities shall have been authenticated and delivered) not theretofore canceled or delivered to the Trustee for cancellation, including principal and interest due, accompanied, except in the event the Securities are due and payable solely in cash at the Maturity Date or upon an earlier Fundamental Change Repurchase Date, by a verification report as to the sufficiency of the deposited amount from a firm of nationally recognized independent certified accountants or other financial professionals, and if the Company shall also pay or cause to be paid all other sums payable hereunder by the Company, then this Indenture shall cease to be of further effect (except as to (i) rights hereunder of Holders to receive all amounts owing upon the Securities and the other rights, duties and obligations of Holders, as beneficiaries hereof with respect to the amounts, if any, so deposited with the Trustee and (ii) the rights, obligations and immunities of the Trustee hereunder), and the Trustee, on written demand of the Company accompanied by an Officers’ Certificate and an Opinion of Counsel and at the cost and expense of the Company, shall execute such instruments reasonably required by the Company acknowledging satisfaction and discharge of this Indenture; the Company, however, hereby agrees to reimburse the Trustee for any costs or expenses thereafter reasonably and properly incurred by the Trustee, including the fees and expenses of its counsel, and to compensate the Trustee for any services thereafter reasonably and properly rendered by the Trustee in connection with this Indenture 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Deposited Monies to Be Held in Trust by Trustee</w:t>
      </w:r>
      <w:r>
        <w:rPr>
          <w:rFonts w:ascii="Times New Roman;Times;Serif" w:hAnsi="Times New Roman;Times;Serif"/>
          <w:b w:val="false"/>
          <w:i w:val="false"/>
          <w:caps w:val="false"/>
          <w:smallCaps w:val="false"/>
          <w:sz w:val="20"/>
        </w:rPr>
        <w:t>. Subject to Section 3.04 hereof, all monies and shares of Common Stock, if any, deposited with the Trustee pursuant to Section 3.01 hereof shall be held in trust for the sole benefit of the Holders of the Securities, and such monies and shares of Common Stock shall be applied by the Trustee to the payment, either directly or through any Paying Agent (including the Company if acting as its own Paying Agent), to the Holders of the particular Securities for the payment or settlement of which such monies or shares of Common Stock have been deposited with the Trustee, of all sums or amounts due and to become due thereon for principal and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Paying Agent to Repay Monies Held</w:t>
      </w:r>
      <w:r>
        <w:rPr>
          <w:rFonts w:ascii="Times New Roman;Times;Serif" w:hAnsi="Times New Roman;Times;Serif"/>
          <w:b w:val="false"/>
          <w:i w:val="false"/>
          <w:caps w:val="false"/>
          <w:smallCaps w:val="false"/>
          <w:sz w:val="20"/>
        </w:rPr>
        <w:t>. Upon the satisfaction and discharge of this Indenture, all monies and shares of Common Stock, if any, then held by any Paying Agent (if other than the Trustee) shall, upon written request of the Company, be repaid to it or paid to the Trustee, and thereupon such Paying Agent shall be released from all further liability with respect to such monies and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caps w:val="false"/>
          <w:smallCaps w:val="false"/>
          <w:sz w:val="20"/>
        </w:rPr>
        <w:t>Return of Unclaimed Monies</w:t>
      </w:r>
      <w:r>
        <w:rPr>
          <w:rFonts w:ascii="Times New Roman;Times;Serif" w:hAnsi="Times New Roman;Times;Serif"/>
          <w:b w:val="false"/>
          <w:i w:val="false"/>
          <w:caps w:val="false"/>
          <w:smallCaps w:val="false"/>
          <w:sz w:val="20"/>
        </w:rPr>
        <w:t>. Subject to the requirements of applicable law, any monies and shares of Common Stock deposited with or paid to the Trustee for payment of the principal of or interest, if any, on the Securities and not applied but remaining unclaimed by the Holders of the Securities for two years after the date upon which the principal of or interest, if any, on such Securities, as the case may be, shall have become due and payable, shall be repaid to the Company by the Trustee on demand, and all liability of the Trustee shall thereupon cease with respect to such monies and shares of Common Stock; and the Holder shall thereafter look only to the Company for any payment or delivery that such Holder may be entitled to collect unless an applicable abandoned property law designates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caps w:val="false"/>
          <w:smallCaps w:val="false"/>
          <w:sz w:val="20"/>
        </w:rPr>
        <w:t>Reinstatement</w:t>
      </w:r>
      <w:r>
        <w:rPr>
          <w:rFonts w:ascii="Times New Roman;Times;Serif" w:hAnsi="Times New Roman;Times;Serif"/>
          <w:b w:val="false"/>
          <w:i w:val="false"/>
          <w:caps w:val="false"/>
          <w:smallCaps w:val="false"/>
          <w:sz w:val="20"/>
        </w:rPr>
        <w:t xml:space="preserve">. If the Trustee or the Paying Agent is unable to apply any money or shares of Common Stock in accordance with Section 3.02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Section 3.01 until such time as the Trustee or the Paying Agent is permitted to apply all such money and shares of Common Stock in accordance with Section 3.02;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makes any payment of interest on, principal of or payment or delivery in respect of any Security following the reinstatement of its obligations, the Company shall be subrogated to the rights of the Holders of such Securities to receive such payment from the money or shares of Common Stock, if any,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Particular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Payment of Principal and Interest.</w:t>
      </w:r>
      <w:r>
        <w:rPr>
          <w:rFonts w:ascii="Times New Roman;Times;Serif" w:hAnsi="Times New Roman;Times;Serif"/>
          <w:b w:val="false"/>
          <w:i w:val="false"/>
          <w:caps w:val="false"/>
          <w:smallCaps w:val="false"/>
          <w:sz w:val="20"/>
        </w:rPr>
        <w:t xml:space="preserve"> The Company covenants and agrees that it will cause to be paid the principal (including the Fundamental Change Repurchase Price, if applicable) of, and accrued and unpaid interest, if any, on each of the Securities at the places, at the respective times and in the manner provided herein and in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Maintenance of Office or Agency.</w:t>
      </w:r>
      <w:r>
        <w:rPr>
          <w:rFonts w:ascii="Times New Roman;Times;Serif" w:hAnsi="Times New Roman;Times;Serif"/>
          <w:b w:val="false"/>
          <w:i w:val="false"/>
          <w:caps w:val="false"/>
          <w:smallCaps w:val="false"/>
          <w:sz w:val="20"/>
        </w:rPr>
        <w:t xml:space="preserve"> The Company will maintain an office or agency where the Securities may be surrendered for registration of transfer or exchange or for presentation for payment or repurchase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or for conversion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xml:space="preserv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shall not be deemed an agent of the Company for service of legal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as co-Security Registrars one or more other offices or agencies where the Securities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 The terms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include any such additional or other offices or agencies,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initially designates the Trustee as the Paying Agent, Security Registrar, Custodian and Conversion Agent and the Corporate Trust Office as the office or agency where Securities may be surrendered for registration of transfer or exchange or for presentation for payment or repurchase or for conversion and where notices and demands to or upon the Company in respect of the Securities and this Indenture may be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Appointments to Fill Vacancies in Trustee’s Office.</w:t>
      </w:r>
      <w:r>
        <w:rPr>
          <w:rFonts w:ascii="Times New Roman;Times;Serif" w:hAnsi="Times New Roman;Times;Serif"/>
          <w:b w:val="false"/>
          <w:i w:val="false"/>
          <w:caps w:val="false"/>
          <w:smallCaps w:val="false"/>
          <w:sz w:val="20"/>
        </w:rPr>
        <w:t xml:space="preserve"> The Company, whenever necessary to avoid or fill a vacancy in the office of Trustee, will appoint, in the manner provided in Section 7.09,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Provisions as to Paying Agent.</w:t>
      </w:r>
      <w:r>
        <w:rPr>
          <w:rFonts w:ascii="Times New Roman;Times;Serif" w:hAnsi="Times New Roman;Times;Serif"/>
          <w:b w:val="false"/>
          <w:i w:val="false"/>
          <w:caps w:val="false"/>
          <w:smallCaps w:val="false"/>
          <w:sz w:val="20"/>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of, accrued and unpaid interest, if any, on, and the Fundamental Change Repurchase Price for, the Securities in trust for the benefit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prompt notice of any failure by the Company to make any payment of the principal of, accrued and unpaid interest, if any, on, or the Fundamental Change Repurchase Price for, the Securities when the same shall be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at any time during the continuance of an Event of Default, upon request of the Trustee, it will forthwith pay to the Trustee all sums so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on or before each due date of the principal of, accrued and unpaid interest, if any, on, and Fundamental Change Repurchase Price for, the Securities, deposit with the Paying Agent a sum sufficient to pay such principal, accrued and unpaid interest, or Fundamental Change Repurchase Price, as the case may be, and (unless such Paying Agent is the Trustee) the Company will promptly notify the Trustee of any failure to take such action; provided that, if such deposit is made on the due date, such deposit must be received by the Paying Agent by 10:00 a.m., New York City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it will, on or before each due date of the principal of, accrued and unpaid interest, if any, on, or Fundamental Change Repurchase Price for, the Securities, set aside, segregate and hold in trust for the benefit of the holders of the Securities a sum sufficient to pay such principal, accrued and unpaid interest, if any, on or Fundamental Change Repurchase Price, as the case may be, so becoming due and will promptly notify the Trustee in writing of any failure to take such action and of any failure by the Company to make any payment of the principal of, accrued and unpaid interest on, or Fundamental Change Repurchase Price for, the Securities when the same shall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applicable abandoned property laws, any money and shares of Common Stock deposited with the Trustee or any Paying Agent, or then held by the Company, in trust for the payment of the principal (including the Fundamental Change Repurchase Price, if applicable) of, accrued and unpaid interest on and the consideration due upon conversion of any Security and remaining unclaimed for two years after such principal (including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any Event of Default pursuant to Section 6.01(h) or 6.01(i), the Trustee shall automatically be designated as the Paying Agent for the Notes if the Trustee is not acting in such capacity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Existence.</w:t>
      </w:r>
      <w:r>
        <w:rPr>
          <w:rFonts w:ascii="Times New Roman;Times;Serif" w:hAnsi="Times New Roman;Times;Serif"/>
          <w:b w:val="false"/>
          <w:i w:val="false"/>
          <w:caps w:val="false"/>
          <w:smallCaps w:val="false"/>
          <w:sz w:val="20"/>
        </w:rPr>
        <w:t xml:space="preserve"> Subject to Article 11, the Company shall do or cause to be done all things necessary to preserve and keep in full force and effect its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Rule 144A Information Requirement and Annual Reports; Additional Interest.</w:t>
      </w:r>
      <w:r>
        <w:rPr>
          <w:rFonts w:ascii="Times New Roman;Times;Serif" w:hAnsi="Times New Roman;Times;Serif"/>
          <w:b w:val="false"/>
          <w:i w:val="false"/>
          <w:caps w:val="false"/>
          <w:smallCaps w:val="false"/>
          <w:sz w:val="20"/>
        </w:rPr>
        <w:t xml:space="preserve"> (a) At any time the Company is not subject to Section 13 or 15(d) of the Exchange Act, the Company shall, so long as any of the Securities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Securities or any shares of Common Stock issuable upon conversion of such Securities, the information required to be delivered pursuant to Rule 144A(d)(4) under the Securities Act to facilitate the resale of such Securities or shares of Common Stock pursuant to Rule 144A. The Company shall take such further action as any Holder or beneficial owner of such Securities may reasonably request to the extent from time to time required to enable such Holder or beneficial owner to sell such Securities or shares of the Common Stock in accordance with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file with the Trustee, within 15 days after it is required to file the same with the Commission (giving effect to any grace period provided by Rule 12b-25 under the Exchange Act (or any successor rule)), copies of any documents or reports that the Company is required to file with the Commission pursuant to Section 13 or 15(d) of the Exchange Act. Documents that the Company files with the Commission via the EDGAR system will be deemed to be filed with the Trustee as of the time such documents are filed via EDGAR, it being understood that the Trustee shall have no responsibility to determine if such filings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Delivery of the reports and documents described in subsection (a) above to the Trustee is for informational purposes only, and the Trustee’s receipt thereof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responsibility to determine if any such filings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during the six-month period beginning on, and including, the date that is six months after the Last Original Issuance Date of any Security, the Company fails to timely file any document or report that it is required to file with the Commission pursuant to Section 13 or 15(d) of the Exchange Act, as applicable (after giving effect to all applicable grace periods thereunder and other than reports on Form 8-K), or the Securities are not otherwise Freely Tradable by Holders other than the Company’s Affiliates or Holders that were the Company’s Affiliates at any time during the three months immediately preceding (as a result of restrictions pursuant to U.S. securities laws or the terms of this Indenture or the Securities), the Company shall pay Additional Interest on the Securities. The “grace periods” referred to in the preceding sentence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 Additional Interest shall accrue on the Securities at a rate equal to 0.50% per annum of the principal amount of the Securities outstanding for each day during such period for which the Company’s failure to file has occurred and is continuing or the Securities are not otherwise Freely Tradable by Holders other than the Company’s Affiliates (or Holders that were the Company’s Affiliates at any time during the three months immediately preceding) without restrictions pursuant to U.S. securities laws or the terms of this Indenture or the Securities.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Securities” shall not include, for the avoidance of doubt, the assignment of a restricted CUSIP to the Securities or the existence of the Restrictive Securities Legend, in either case, during the six-month period described in this Section 4.06(d).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and for so long as, the Restrictive Securities Legend on the Securities specified in Section 2.05(c) has not been removed, the Securities are assigned a restricted CUSIP or the Securities are not otherwise Freely Tradable by Holders other than the Company’s Affiliates or Holders that were the Company’s Affiliates at any time during the three months immediately preceding (without restrictions pursuant to U.S. securities laws or the terms of this Indenture or the Securities) as of the De-Legending Deadline Date for such Security, the Company shall pay Additional Interest on such Security at a rate equal to 0.50% per annum of the principal amount of such Security outstanding, until the Restrictive Securities Legend on such Security has been removed in accordance with Section 2.05(c), such Security is assigned an unrestricted CUSIP and such Security is Freely Tradable by Holders other than the Company’s Affiliates (or Holders that were the Company’s Affiliates at any time during the three months immediately preceding) without restrictions pursuant to U.S. securities laws or the terms of this Indenture 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no Additional Interest will accrue or be owed pursuant to the immediately preceding paragraph until the fifteenth (15th) Business Day following written notification to the Company by the Trustee (at the direction of any Holder of such Security) or any Holder or beneficial owner of such Security requesting that the Company comply with its obligations described in the immediately preceding paragraph (which notice may be given at any time after the three-hundred and thirtieth (330th) day after the Last Original Issuance Date of such Security), it being understood and agreed that in no event will Additional Interest accrue or be owed pursuant to the immediately preceding paragraph for any period prior to the De-Legending Deadline Date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Additional Interest will be payable in arrears on each Interest Payment Date following accrual in the same manner as regular interest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immediately succeeding sentence, the Additional Interest that is payable in accordance with Section 4.06(d) or Section 4.06(e) shall be in addition to, and not in lieu of, any Additional Interest that may be payable as a result of the Company’s election pursuant to Section 6.03. However, in no event shall any Additional Interest set forth in Section 4.06(d) and Section 4.06(e), together with any Additional Interest that may accrue under Section 6.03, accrue at a rate in excess of 0.50% per annum pursuant to this Indenture, regardless of the number of events or circumstances giving rise to the requirement to pay such Additional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 shall deliver to the Trustee, as soon as possible, and in any event within 30 days after the occurrence of any Default or Event of Default, an Officers’ Certificate setting forth the details of such Default or Event of Default, its status and the action that the Company proposes to take with respect thereto;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provide such Officers’ Certificate at any time after such Default or Event of Default is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The Company shall send notice to each Holder, the Trustee and the Conversion Agent (if other than the Trustee) of the commencement and termination of any period in which Additional Interest accrues on such Security.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Stay, Extension and Usury Laws.</w:t>
      </w:r>
      <w:r>
        <w:rPr>
          <w:rFonts w:ascii="Times New Roman;Times;Serif" w:hAnsi="Times New Roman;Times;Serif"/>
          <w:b w:val="false"/>
          <w:i w:val="false"/>
          <w:caps w:val="false"/>
          <w:smallCaps w:val="false"/>
          <w:sz w:val="20"/>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Securities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Compliance Certificate; Statements as to Defaults.</w:t>
      </w:r>
      <w:r>
        <w:rPr>
          <w:rFonts w:ascii="Times New Roman;Times;Serif" w:hAnsi="Times New Roman;Times;Serif"/>
          <w:b w:val="false"/>
          <w:i w:val="false"/>
          <w:caps w:val="false"/>
          <w:smallCaps w:val="false"/>
          <w:sz w:val="20"/>
        </w:rPr>
        <w:t xml:space="preserve"> The Company shall deliver to the Trustee within 120 days after the end of each fiscal year of the Company (beginning with the fiscal year ending on December 31, 2026) an Officers’ Certificate stating whether the signers thereof have knowledge of any Default or any Event of Default that occurred during the previous year and, if so, specifying each such failure and the nature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w:t>
      </w:r>
      <w:r>
        <w:rPr>
          <w:rFonts w:ascii="Times New Roman;Times;Serif" w:hAnsi="Times New Roman;Times;Serif"/>
          <w:b w:val="false"/>
          <w:i/>
          <w:caps w:val="false"/>
          <w:smallCaps w:val="false"/>
          <w:sz w:val="20"/>
        </w:rPr>
        <w:t>Covenant to Take Certain Actions</w:t>
      </w:r>
      <w:r>
        <w:rPr>
          <w:rFonts w:ascii="Times New Roman;Times;Serif" w:hAnsi="Times New Roman;Times;Serif"/>
          <w:b w:val="false"/>
          <w:i w:val="false"/>
          <w:caps w:val="false"/>
          <w:smallCaps w:val="false"/>
          <w:sz w:val="20"/>
        </w:rPr>
        <w:t>. Before taking any action which would cause an adjustment to the Conversion Rate such that the Conversion Price per share of Common Stock issuable upon conversion of the Securities would be less than the par value of the Common Stock, the Company shall take all corporate actions that may, in the opinion of its counsel, be necessary so it may validly and legally issue shares of Common Stock at such adjusted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Further Instruments and Acts.</w:t>
      </w:r>
      <w:r>
        <w:rPr>
          <w:rFonts w:ascii="Times New Roman;Times;Serif" w:hAnsi="Times New Roman;Times;Serif"/>
          <w:b w:val="false"/>
          <w:i w:val="false"/>
          <w:caps w:val="false"/>
          <w:smallCaps w:val="false"/>
          <w:sz w:val="20"/>
        </w:rPr>
        <w:t xml:space="preserve"> 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Lists of Holders and Reports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Lists of Holders.</w:t>
      </w:r>
      <w:r>
        <w:rPr>
          <w:rFonts w:ascii="Times New Roman;Times;Serif" w:hAnsi="Times New Roman;Times;Serif"/>
          <w:b w:val="false"/>
          <w:i w:val="false"/>
          <w:caps w:val="false"/>
          <w:smallCaps w:val="false"/>
          <w:sz w:val="20"/>
        </w:rPr>
        <w:t xml:space="preserve"> The Company covenants and agrees that it will furnish or cause to be furnished to the Trustee, semi-annually, not more than 10 days after each December 15 and June 15 in each year beginning with December 15,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Preservation and Disclosure of Lists.</w:t>
      </w:r>
      <w:r>
        <w:rPr>
          <w:rFonts w:ascii="Times New Roman;Times;Serif" w:hAnsi="Times New Roman;Times;Serif"/>
          <w:b w:val="false"/>
          <w:i w:val="false"/>
          <w:caps w:val="false"/>
          <w:smallCaps w:val="false"/>
          <w:sz w:val="20"/>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Security Registrar, if so acting. The Trustee may destroy any list furnished to it as provided in Section 5.01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xml:space="preserve"> Each of the following events (and only the following events) shall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wherever used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any payment of interest on any Security when due and payable, and the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Security when due and payable on the Maturity Date, upon any required repurchase,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by the Company to comply with its obligation to convert the Securities in accordance with this Indenture upon exercise of a Holder’s conversion right and such failure continues for three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by the Company to give a Fundamental Change Company Notice pursuant to Section 15.02(b) or notice of a transaction pursuant to Section 14.01(b)(iii) or 14.01(b)(iv), in each case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failure by the Company to comply with its obligations under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failure by the Company for 60 days after written notice from the Trustee or the Holders of at least 25% in principal amount of the Securities then outstanding has been received to comply with any of the Company’s other agreements contained in the Securities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default by the Company or any of its Significant Subsidiaries with respect to any mortgage, agreement or other instrument under which there may be outstanding, or by which there may be secured or evidenced, any indebtedness for money borrowed in excess of $50,000,000 (or its foreign currency equivalent) in the aggregate of the Company and/or any such Significant Subsidiary, whether such indebtedness exists on the date hereof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or any Significant Subsidiary shall commence a voluntary case or other proceeding seeking the liquidation, reorganization or other relief with respect to the Company, any Significant Subsidiary or its or their debts under any bankruptcy, insolvency or other similar law now or hereafter in effect or seeking the appointment of a trustee, receiver, liquidator, custodian or other similar official of the Company, any Significant Subsidiary or any substantial part of the Company’s or any Significant Subsidiary’s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or other proceeding shall be commenced against the Company or any Significant Subsidiary seeking liquidation, reorganization or other relief with respect to the Company or any Significant Subsidiary or its or their debts under any bankruptcy, insolvency or other similar law now or hereafter in effect or seeking the appointment of a trustee, receiver, liquidator, custodian or other similar official of the Company, any Significant Subsidiary or any substantial part of its or their property, and such involuntary case or other proceeding shall remain undismissed and unstayed for a period of thirty consecutive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final judgment or judgments for the payment of $100,000,000 (or its foreign currency equivalent) or more (excluding any amounts covered by insurance) in the aggregate rendered against the Company or any of its Significant Subsidiaries, which judgment is not discharged, bonded, paid, waived or stayed within 60 days after (i) the date on which the right to appeal thereof has expired if no such appeal has commenced, or (ii) the date on which all rights to appeal have been extinguished.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Acceleration; Rescission and Annulment</w:t>
      </w:r>
      <w:r>
        <w:rPr>
          <w:rFonts w:ascii="Times New Roman;Times;Serif" w:hAnsi="Times New Roman;Times;Serif"/>
          <w:b w:val="false"/>
          <w:i w:val="false"/>
          <w:caps w:val="false"/>
          <w:smallCaps w:val="false"/>
          <w:sz w:val="20"/>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or a Significant Subsidiary), unless the principal of all of the Securities shall have already become due and payable, either the Trustee or the Holders of at least 25% in aggregate principal amount of the Securities then outstanding determined in accordance with Section 8.04, by notice in writing to the Company (and to the Trustee if given by the Holders), may (and the Trustee, at the written request of such Holders, shall) declare the unpaid principal of, and accrued and unpaid interest, if any, to be due and payable immediately, and upon any such declaration the same shall become and shall automatically be immediately due and payable, anything contained in this Indenture or in the Securities to the contrary notwithstanding. For the avoidance of doubt, if such Event of Default is not continuing at the time such notice is provided (that is, such Event of Default has been cured or waived as of such time), then such notice will not be effective to cause such amounts to become due and payable immediately. If an Event of Default specified in Section 6.01(h) or Section 6.01(i) with respect to the Company or a Significant Subsidiary occurs and is continuing, then all unpaid principal amounts, and accrued and unpaid interest, if any, shall immediately become due and payable, without any action by the Trustee or any Holder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Additional Interest</w:t>
      </w:r>
      <w:r>
        <w:rPr>
          <w:rFonts w:ascii="Times New Roman;Times;Serif" w:hAnsi="Times New Roman;Times;Serif"/>
          <w:b w:val="false"/>
          <w:i w:val="false"/>
          <w:caps w:val="false"/>
          <w:smallCaps w:val="false"/>
          <w:sz w:val="20"/>
        </w:rPr>
        <w:t>. Notwithstanding any provisions of this Indenture or in the Securities to the contrary, if the Company so elects, the sole remedy for an Event of Default relating to the Company’s failure to comply with its obligations as set forth in Section 4.06(b)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will, after the occurrence of such an Event of Default, consist exclusively of the right to receive Additional Interest on the Securities at a rate equal to (x) 0.25% per annum of the principal amount of the Securities outstanding for the first 90 days during which such Event of Default has occurred and is continuing beginning on, and including, the date on which such Event of Default first occurs and (y) 0.50% per annum of the principal amount of the Securities outstanding for each day during the next 90-day period during which such Event of Default is continuing beginning on, and including, the 91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an Event of Default first occurs. Additional Interest payable pursuant to this Section 6.03 shall be in addition to, not in lieu of, any Additional Interest payable pursuant to Section 4.06(d) or Section 4.06(e). If the Company so elects, such Additional Interest will be payable in the same manner and on the same dates as the stated interest payable on the Securities. On the 181st day after such Reporting Event of Default (if the Reporting Event of Default is not cured or waived prior to such 181st day), the Securities will be subject to acceleration pursuant to Section 6.02. The provisions of this paragraph will not affect the rights of Holders of Securities in the event of the occurrence of any Event of Default that is not a Reporting Event of Default. In the event the Company does not elect to pay Additional Interest following an Event of Default in accordance with this Section 6.03 or the Company elected to make such payment but does not pay the Additional Interest when due, the Securities will be immediately subject to acceleration as provided in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Additional Interest as the sole remedy during the first 180 days after the occurrence of any Reporting Event of Default, the Company must notify all Holders of Securities, the Trustee and the Paying Agent of such election prior to the beginning of such 180-day period. Upon the Company’s failure to timely give such notice, the Securities will be immediately subject to acceleration as provided in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pursuant to Section 4.06(d) or Section 4.06(e), accrue at a rate in excess of 0.50% per annum pursuant to this Indenture, regardless of the number of events or circumstances giving rise to the requirement to pay such Additional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at any time be under any duty or responsibility to any Holder to determine Additional Interest, or with respect to the nature, extent or calculations of the amount of Additional Interest owed, or with respect to the method employed in such calculation of Additional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The Trustee may withhold notice to the Holders of Securities of any Default or Event of Default, except a Default or Event of Default relating to the payment of principal or interest or the failure to deliver the consideration due upon conversion, if it determines that withholding such notice is in the Holders’ interest. The Holders of a majority in principal amount of the Securities may waive any Default or Event of Default and rescind any acceleration with respect to the Securities and its consequences, except a continuing Default or Event of Default in the payment of principal or interest on the Securities or the failure to deliver the consideration due upon conversion if (i) rescission would not conflict with any judgment or decree of a court of competent jurisdiction and (ii) all existing Events of Default, other than the nonpayment of principal of and interest on the Securities that have become due solely by such declaration of acceleration, have been cured or waived. Any such waiver shall cure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caps w:val="false"/>
          <w:smallCaps w:val="false"/>
          <w:sz w:val="20"/>
        </w:rPr>
        <w:t>Cure of Defaults; Ability to Cure or Waive Before Event of Default Occurs</w:t>
      </w:r>
      <w:r>
        <w:rPr>
          <w:rFonts w:ascii="Times New Roman;Times;Serif" w:hAnsi="Times New Roman;Times;Serif"/>
          <w:b w:val="false"/>
          <w:i w:val="false"/>
          <w:caps w:val="false"/>
          <w:smallCaps w:val="false"/>
          <w:sz w:val="20"/>
        </w:rPr>
        <w:t>. For the avoidance of doubt, and without limiting the manner in which any Default can be cured, (a) a Default consisting of a failure to send a notice in accordance with this Indenture will be cured upon the sending of such notice; (b) a Default in making any payment on (or delivering any other consideration in respect of) any Security will be cured upon the delivery, in accordance with this Indenture, of such payment (or other consideration) together, if applicable, with Default Interest thereon; and (c) a Default that is or, after notice, passage of time or both, would be a Reporting Event of Default will be cured upon the filing of the relevant report(s) giving rise to such Default; provided that (x) the cure of any Event of Default shall not invalidate any acceleration of the Securities on account of such Event of Default that was properly effected prior to the time that such Event of Default was cured and (y) the cure of any Reporting Event of Default will not affect the Company’s obligation to pay any Additional Interest that accrues prior to the time of such cure. In addition, for the avoidance of doubt, if a Default that is not an Event of Default is cured or waived before such Default would have constituted an Event of Default, then no Event of Default will result from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caps w:val="false"/>
          <w:smallCaps w:val="false"/>
          <w:sz w:val="20"/>
        </w:rPr>
        <w:t>Control by Majority</w:t>
      </w:r>
      <w:r>
        <w:rPr>
          <w:rFonts w:ascii="Times New Roman;Times;Serif" w:hAnsi="Times New Roman;Times;Serif"/>
          <w:b w:val="false"/>
          <w:i w:val="false"/>
          <w:caps w:val="false"/>
          <w:smallCaps w:val="false"/>
          <w:sz w:val="20"/>
        </w:rPr>
        <w:t>. Subject to the proviso of this sentence, at any time, the Holders of a majority of the aggregate principal amount of the then outstanding Securities may direct the time, method and place of conducting any proceeding for any remedy available to the Trustee or for exercising any trust or power conferred on the Trustee, with respect to the Securities,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refuse to follow any direction that conflicts with law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it which is not inconsistent with such direction;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need not take any action that might involve it in personal liability or might be unduly prejudicial to the Holders not involved in the proceeding; provided that the Trustee shall have no affirmative duty to determine whether any action is unduly prejudicial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taking any action hereunder, the Trustee will be entitled to indemnification or security satisfactory to it against all losses and expenses caused by taking or not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caps w:val="false"/>
          <w:smallCaps w:val="false"/>
          <w:sz w:val="20"/>
        </w:rPr>
        <w:t>Limitation on Suits</w:t>
      </w:r>
      <w:r>
        <w:rPr>
          <w:rFonts w:ascii="Times New Roman;Times;Serif" w:hAnsi="Times New Roman;Times;Serif"/>
          <w:b w:val="false"/>
          <w:i w:val="false"/>
          <w:caps w:val="false"/>
          <w:smallCaps w:val="false"/>
          <w:sz w:val="20"/>
        </w:rPr>
        <w:t>. Except to enforce the right to receive payment of principal or interest when due, or the right to receive payment or delivery of the consideration due upon Conversion, no Holder may pursue any remedy with respect to this Indenture or the Securities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the Trustee written notice that an Event of Default has occurred and is continuing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of the aggregate principal amount of the outstanding Securities have requested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Holders have offered, and, if requested, provided the Trustee security or indemnity or reasonably satisfactory to the Trustee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has not complied with such request within 60 days after the receipt of the request and the offer of such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Holders of a majority in principal amount of the outstanding Securities have not given the Trustee a direction that, in the opinion of the Trustee, is inconsistent with such request within such 60-day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use this Indenture to prejudice the rights of any other Holder or to obtain a preference or priority over any other Holder, it being understood that the Trustee does not have any affirmative duty to ascertain whether any usage of this Indenture by a Holder is unduly prejudicial to such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caps w:val="false"/>
          <w:smallCaps w:val="false"/>
          <w:sz w:val="20"/>
        </w:rPr>
        <w:t>Rights of Holders to Receive Payment and to Convert</w:t>
      </w:r>
      <w:r>
        <w:rPr>
          <w:rFonts w:ascii="Times New Roman;Times;Serif" w:hAnsi="Times New Roman;Times;Serif"/>
          <w:b w:val="false"/>
          <w:i w:val="false"/>
          <w:caps w:val="false"/>
          <w:smallCaps w:val="false"/>
          <w:sz w:val="20"/>
        </w:rPr>
        <w:t>. Notwithstanding anything to the contrary elsewhere in this Indenture, the right of any Holder to receive payment of the principal (including the Fundamental Change Repurchase Price, if applicable) of, interest on, and the consideration due upon conversion of, its Securities, on or after the respective due date, or to bring suit for the enforcement of any such payment or conversion rights, will not be impaired or affected without the consent of such Holder and will not be subject to the requirements of Section 6.07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caps w:val="false"/>
          <w:smallCaps w:val="false"/>
          <w:sz w:val="20"/>
        </w:rPr>
        <w:t>Collection of Indebtedness; Suit for Enforcement by Trustee</w:t>
      </w:r>
      <w:r>
        <w:rPr>
          <w:rFonts w:ascii="Times New Roman;Times;Serif" w:hAnsi="Times New Roman;Times;Serif"/>
          <w:b w:val="false"/>
          <w:i w:val="false"/>
          <w:caps w:val="false"/>
          <w:smallCaps w:val="false"/>
          <w:sz w:val="20"/>
        </w:rPr>
        <w:t>. If an Event of Default specified in Section 6.01(a), 6.01(b) or 6.01(c) hereof occurs and is continuing, the Trustee is authorized to recover judgment in its own name and as trustee of an express trust against the Company for the whole amount of principal of, interest on, Fundamental Change Repurchase Price for, and the amount of cash or the combination of cash and shares of Common Stock, if any, as the case may be, due upon the conversion of, the Securities, as the case may be, and such further amount as is sufficient to cover the costs and expenses of collection, including the reasonable compensation, expenses, disbursements and advances of the Trustee, its agents and counsel, as well as any other amounts that may be due under Section 7.06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caps w:val="false"/>
          <w:smallCaps w:val="false"/>
          <w:sz w:val="20"/>
        </w:rPr>
        <w:t>Trustee May Enforce Claims Without Possession of Securities</w:t>
      </w:r>
      <w:r>
        <w:rPr>
          <w:rFonts w:ascii="Times New Roman;Times;Serif" w:hAnsi="Times New Roman;Times;Serif"/>
          <w:b w:val="false"/>
          <w:i w:val="false"/>
          <w:caps w:val="false"/>
          <w:smallCaps w:val="false"/>
          <w:sz w:val="20"/>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caps w:val="false"/>
          <w:smallCaps w:val="false"/>
          <w:sz w:val="20"/>
        </w:rPr>
        <w:t>Trustee May File Proofs of Claim</w:t>
      </w:r>
      <w:r>
        <w:rPr>
          <w:rFonts w:ascii="Times New Roman;Times;Serif" w:hAnsi="Times New Roman;Times;Serif"/>
          <w:b w:val="false"/>
          <w:i w:val="false"/>
          <w:caps w:val="false"/>
          <w:smallCaps w:val="false"/>
          <w:sz w:val="20"/>
        </w:rPr>
        <w:t>. The Trustee is authorized to file such proofs of claim and other papers or documents as may be necessary or advisable to have the claims of the Trustee and the Holders allowed in any judicial proceedings relative to the Company, its creditors or its property and, unless prohibited by law or applicable regulations, will be entitled to collect, receive and distribute any money or other property payable or deliverable on any such claims, and any custodian in any such judicial proceeding is hereby authorized by each Holder to make such payments to the Trustee, and, in the event that the Trustee consents to the making of such payments directly to the Holders, to pay to the Trustee any amount due to it for the reasonable compensation, expenses, disbursements and advances of the Trustee, its agents and counsel, and any other amounts due the Trustee under Section 7.06 of this Indenture. To the extent that the payment of any such compensation, expenses, disbursements and advances of the Trustee, its agents and counsel, and any other amounts due the Trustee under Section 7.06 of this Indenture out of the estate in any such proceeding, will be denied for any reason, payment of the same will be secured by a lien on, and is paid out of, any and all distributions, dividends, money, securities and other properties that the Holders may be entitled to receive in such proceeding, whether in liquidation or under any plan of reorganization or arrangement or otherwise. Nothing herein contained will be deemed to authorize the Trustee to authorize or consent to, or to accept or to adopt on behalf of any Holder, any plan of reorganization, arrangement, adjustment or composition affecting the Securities or the rights of any Holder,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caps w:val="false"/>
          <w:smallCaps w:val="false"/>
          <w:sz w:val="20"/>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caps w:val="false"/>
          <w:smallCaps w:val="false"/>
          <w:sz w:val="20"/>
        </w:rPr>
        <w:t>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stolen Securities in Section 2.06 of this Indenture,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caps w:val="false"/>
          <w:smallCaps w:val="false"/>
          <w:sz w:val="20"/>
        </w:rPr>
        <w:t>Delay or Omission Not a Waiver</w:t>
      </w:r>
      <w:r>
        <w:rPr>
          <w:rFonts w:ascii="Times New Roman;Times;Serif" w:hAnsi="Times New Roman;Times;Serif"/>
          <w:b w:val="false"/>
          <w:i w:val="false"/>
          <w:caps w:val="false"/>
          <w:smallCaps w:val="false"/>
          <w:sz w:val="20"/>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(subject to the limitations contained in this Indenture)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caps w:val="false"/>
          <w:smallCaps w:val="false"/>
          <w:sz w:val="20"/>
        </w:rPr>
        <w:t>Priorities</w:t>
      </w:r>
      <w:r>
        <w:rPr>
          <w:rFonts w:ascii="Times New Roman;Times;Serif" w:hAnsi="Times New Roman;Times;Serif"/>
          <w:b w:val="false"/>
          <w:i w:val="false"/>
          <w:caps w:val="false"/>
          <w:smallCaps w:val="false"/>
          <w:sz w:val="20"/>
        </w:rPr>
        <w:t>. If the Trustee collects any money or property pursuant to this Article 6, it will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the Trustee (in each of its capacities hereunder), its agents and attorneys for amounts due under Section 7.06 of this Indenture, including payment of all compensation, expenses and liabilities incurred, and all advances made, by the Trustee and the costs and expenses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to the Holders, for any amounts due and unpaid on the principal of, accrued and unpaid interest on, Fundamental Change Repurchase Price for, and any cash due upon conversion of, any Security, without preference or priority of any kind, according to such amounts due and payable on all of the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the balance, if any, to the Company or to such other party as a court of competent jurisdiction directs.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the Holders pursuant to this Section 6.15. If the Trustee so fixes a record date and a payment date, at least 15 days prior to such record date, the Company will deliver to each Holder and the Trustee a written notice, which notice will state such record date, such payment date and the amount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caps w:val="false"/>
          <w:smallCaps w:val="false"/>
          <w:sz w:val="20"/>
        </w:rPr>
        <w:t>Undertaking for Costs</w:t>
      </w:r>
      <w:r>
        <w:rPr>
          <w:rFonts w:ascii="Times New Roman;Times;Serif" w:hAnsi="Times New Roman;Times;Serif"/>
          <w:b w:val="false"/>
          <w:i w:val="false"/>
          <w:caps w:val="false"/>
          <w:smallCaps w:val="false"/>
          <w:sz w:val="20"/>
        </w:rPr>
        <w:t>. All parties to this Indenture agree, and each Holder, by such Holder’s acceptance of a Security,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provided, however, that the provisions of this Section 6.16 shall not apply to any suit instituted by the Trustee, to any suit instituted by any Holder, or group of Holders, holding in the aggregate more than 10% in aggregate principal amount of the Securities then outstanding, or to any suit instituted by any Holder for the enforcement of the payment of the principal of, accrued and unpaid interest, if any, on, or Fundamental Change Repurchase Price for, any Security on or after the due date expressed or provided for in this Indenture or to any suit for the enforcement of the right to convert any Security in accordance with the provisions of Article 14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caps w:val="false"/>
          <w:smallCaps w:val="false"/>
          <w:sz w:val="20"/>
        </w:rPr>
        <w:t>Waiver of Stay, Extension and Usury Laws</w:t>
      </w:r>
      <w:r>
        <w:rPr>
          <w:rFonts w:ascii="Times New Roman;Times;Serif" w:hAnsi="Times New Roman;Times;Serif"/>
          <w:b w:val="false"/>
          <w:i w:val="false"/>
          <w:caps w:val="false"/>
          <w:smallCaps w:val="false"/>
          <w:sz w:val="20"/>
        </w:rPr>
        <w:t>. The Company covenants that, to the extent that it may lawfully do so,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instead suffer and permit the execution of every such power as though no such law has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6.18. </w:t>
      </w:r>
      <w:r>
        <w:rPr>
          <w:rFonts w:ascii="Times New Roman;Times;Serif" w:hAnsi="Times New Roman;Times;Serif"/>
          <w:b w:val="false"/>
          <w:i/>
          <w:caps w:val="false"/>
          <w:smallCaps w:val="false"/>
          <w:sz w:val="20"/>
        </w:rPr>
        <w:t>Notices from the Trustee</w:t>
      </w:r>
      <w:r>
        <w:rPr>
          <w:rFonts w:ascii="Times New Roman;Times;Serif" w:hAnsi="Times New Roman;Times;Serif"/>
          <w:b w:val="false"/>
          <w:i w:val="false"/>
          <w:caps w:val="false"/>
          <w:smallCaps w:val="false"/>
          <w:sz w:val="20"/>
        </w:rPr>
        <w:t>. Whenever a Default occurs and is continuing and is actually known to a Responsible Officer of the Trustee, the Trustee must deliver notice of such Default to the Holders within 90 days after receipt of such notice. Except in the case of a Default in the payment of the principal of, interest on, or Fundamental Change Repurchase Price for, any Security or of a Default in the payment or delivery, as the case may be, of the consideration due upon conversion of a Security, the Trustee shall be protected in withholding such notice if and so long as the Trustee in good faith determine that the withholding of such notice is in the interests of the Holders. For the avoidance of doubt, the Trustee will not be required to deliver such notice at any time after such Default or Event of Default is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Duties and Responsibilities of Trustee.</w:t>
      </w:r>
      <w:r>
        <w:rPr>
          <w:rFonts w:ascii="Times New Roman;Times;Serif" w:hAnsi="Times New Roman;Times;Serif"/>
          <w:b w:val="false"/>
          <w:i w:val="false"/>
          <w:caps w:val="false"/>
          <w:smallCaps w:val="false"/>
          <w:sz w:val="20"/>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and is actually known to a Responsible Officer of the Trustee,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 Event of Default occurs and is continuing under this Indenture, the Trustee will be under no obligation to exercise any of the rights or powers under this Indenture at the request or direction of any of the Holders unless such Holders have offered, and, if requested, provided to the Trustee indemnity or security satisfactory to the Trustee against any loss, liability or expense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and after the curing or waiving of all Events of Default that may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Officers of the Trustee, unless it shall be proved that the Trustee was grossly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for any action it takes or omits to take in good faith that it believes to be authorized or within the rights or powers conferred upon it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with respect to any action taken or omitted to be taken by it in good faith in accordance with the direction of the Holders of not less than a majority of the aggregate principal amount of the Securities at the time outstanding determined as provided in Section 8.04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in respect of any payment (as to the correctness of amount, entitlement to receive or any other matters relating to payment) or notice effected by the Company or any Paying Agent or any records maintained by any co-Security Registrar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Trustee is also acting as Custodian, Security Registrar, Paying Agent, Conversion Agent, Bid Solicitation Agent or transfer agent hereunder, the rights and protections afforded to the Trustee pursuant to this Article 7 shall also be afforded to such Custodian, Security Registrar, Paying Agent, Conversion Agent, Bid Solicitation Agent or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Reliance on Documents, Opinions, Etc.</w:t>
      </w:r>
      <w:r>
        <w:rPr>
          <w:rFonts w:ascii="Times New Roman;Times;Serif" w:hAnsi="Times New Roman;Times;Serif"/>
          <w:b w:val="false"/>
          <w:i w:val="false"/>
          <w:caps w:val="false"/>
          <w:smallCaps w:val="false"/>
          <w:sz w:val="20"/>
        </w:rPr>
        <w:t xml:space="preserve"> Except as otherwise provided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and Agents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The Trustee will not be liable for any action it takes or omits to take in good faith reliance 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privileges, protections, immunities and benefits given to the Trustee, without limitation, its right to be indemnified, are extended to, and shall be enforceable by, the Trustee in each of its capacities hereunder, and each agent (including the Agents),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required to give any bond or surety in respect of the performance of its powers and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may request that the Company deliver a certificate setting forth the names of an individuals and/or titles of officers authorized at such time to take specified actions pursuant to this Indenture (i.e., an incumbency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responsible for monitoring the performance or actions of other Persons, including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is not obligated to follow any instruction of the Holders that is contrary to this Indenture, the Notes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permissive rights of the Trustee enumerated herein shall not be construed as duties;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obligated to take possession of any Common Stock, whether upon conversion or in connection with any discharge of this Indenture pursuant to Article 3 hereof, but shall satisfy its obligation as Conversion Agent by working through the stock transfer agent of the Company from time to time as directed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other than any such loss or damage. The Trustee shall not be charged with knowledge of any Default or Event of Default with respect to the Securities, unless either (1) a Responsible Officer shall have actual knowledge of such Default or Event of Default or (2) written notice of such Default or Event of Default shall have been given to the Trustee at its Corporate Trust Office by the Company or by any Holder, and such notice references the Note and this Indenture and states that it is a notice of Default or Event of Default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No Responsibility for Recitals, Etc.</w:t>
      </w:r>
      <w:r>
        <w:rPr>
          <w:rFonts w:ascii="Times New Roman;Times;Serif" w:hAnsi="Times New Roman;Times;Serif"/>
          <w:b w:val="false"/>
          <w:i w:val="false"/>
          <w:caps w:val="false"/>
          <w:smallCaps w:val="false"/>
          <w:sz w:val="20"/>
        </w:rPr>
        <w:t xml:space="preserve"> The recitals contained herein and in the Securities (except in the Trustee’s certificate of authentication) shall be taken as the statements of the Company, and the Trustee assumes no responsibility for the correctness of the same. The Trustee makes no representations as to the validity or sufficiency of this Indenture or of the Securities. The Trustee shall not be accountable for the use or application by the Company of any Securities or the proceeds of any Securities authenticated and delivered by the Trustee in conformity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Trustee, Paying Agents, Conversion Agents, Bid Solicitation Agent or Security Registrar May Own Securities.</w:t>
      </w:r>
      <w:r>
        <w:rPr>
          <w:rFonts w:ascii="Times New Roman;Times;Serif" w:hAnsi="Times New Roman;Times;Serif"/>
          <w:b w:val="false"/>
          <w:i w:val="false"/>
          <w:caps w:val="false"/>
          <w:smallCaps w:val="false"/>
          <w:sz w:val="20"/>
        </w:rPr>
        <w:t xml:space="preserve"> The Trustee, any Paying Agent, any Conversion Agent, Bid Solicitation Agent (if other than the Company or any Affiliate thereof) or Security Registrar, in its individual or any other capacity, may become the owner or pledgee of Securities with the same rights it would have if it were not the Trustee, Paying Agent, Conversion Agent, Bid Solicitation Agent or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Monies and Shares of Common Stock to Be Held in Trust.</w:t>
      </w:r>
      <w:r>
        <w:rPr>
          <w:rFonts w:ascii="Times New Roman;Times;Serif" w:hAnsi="Times New Roman;Times;Serif"/>
          <w:b w:val="false"/>
          <w:i w:val="false"/>
          <w:caps w:val="false"/>
          <w:smallCaps w:val="false"/>
          <w:sz w:val="20"/>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caps w:val="false"/>
          <w:smallCaps w:val="false"/>
          <w:sz w:val="20"/>
        </w:rPr>
        <w:t>Compensation and Expenses of Trustee.</w:t>
      </w:r>
      <w:r>
        <w:rPr>
          <w:rFonts w:ascii="Times New Roman;Times;Serif" w:hAnsi="Times New Roman;Times;Serif"/>
          <w:b w:val="false"/>
          <w:i w:val="false"/>
          <w:caps w:val="false"/>
          <w:smallCaps w:val="false"/>
          <w:sz w:val="20"/>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determined by a final, non-appealable decision of a court of competent jurisdiction. The Company also covenants to indemnify the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as determined by a final, non-appealable order of a court of competent jurisdiction and arising out of or in connection with the acceptance or administration of this Indenture or in any other capacity hereunder, including the costs and expenses of defending themselves against any claim of liability in the premises and the enforcement of this Section 7.06. The obligations of the Company under this Section 7.06 to compensate or indemnify the Trustee and to pay or reimburse the Trustee for expenses, disbursements and advances shall be secured by a senior lien and claim to which the Securities are hereby made subordinate on all money or property held or collected by the Trustee, except, subject to the effect of Section 6.15, funds held in trust herewith for the benefit of the Holders of particular Securities.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caps w:val="false"/>
          <w:smallCaps w:val="false"/>
          <w:sz w:val="20"/>
        </w:rPr>
        <w:t xml:space="preserve">Officers’ Certificate as Evidence. </w:t>
      </w: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caps w:val="false"/>
          <w:smallCaps w:val="false"/>
          <w:sz w:val="20"/>
        </w:rPr>
        <w:t>Eligibility of Trustee.</w:t>
      </w:r>
      <w:r>
        <w:rPr>
          <w:rFonts w:ascii="Times New Roman;Times;Serif" w:hAnsi="Times New Roman;Times;Serif"/>
          <w:b w:val="false"/>
          <w:i w:val="false"/>
          <w:caps w:val="false"/>
          <w:smallCaps w:val="false"/>
          <w:sz w:val="20"/>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caps w:val="false"/>
          <w:smallCaps w:val="false"/>
          <w:sz w:val="20"/>
        </w:rPr>
        <w:t>Resignation or Removal of Trustee.</w:t>
      </w:r>
      <w:r>
        <w:rPr>
          <w:rFonts w:ascii="Times New Roman;Times;Serif" w:hAnsi="Times New Roman;Times;Serif"/>
          <w:b w:val="false"/>
          <w:i w:val="false"/>
          <w:caps w:val="false"/>
          <w:smallCaps w:val="false"/>
          <w:sz w:val="20"/>
        </w:rPr>
        <w:t xml:space="preserve"> (a) The Trustee may at any time resign by giving 30 days’ prior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for the appointment of a successor trustee, or any Holder who has been a bona fide holder of a Security or Securities for at least six months (or since the date of this Indenture) may, subject to the provisions of Section 6.16, on behalf of himself or herself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cease to be eligible in accordance with the provisions of Section 7.08 and shall fail to resign after written request therefor by the Company or by any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6.16, any Holder who has been a bona fide holder of a Security or Securities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pursuant to any of the provisions of this Section 7.09 shall become effective upon acceptance of appointment by the successor trustee as provided in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caps w:val="false"/>
          <w:smallCaps w:val="false"/>
          <w:sz w:val="20"/>
        </w:rPr>
        <w:t>Acceptance by Successor Trustee.</w:t>
      </w:r>
      <w:r>
        <w:rPr>
          <w:rFonts w:ascii="Times New Roman;Times;Serif" w:hAnsi="Times New Roman;Times;Serif"/>
          <w:b w:val="false"/>
          <w:i w:val="false"/>
          <w:caps w:val="false"/>
          <w:smallCaps w:val="false"/>
          <w:sz w:val="20"/>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and claim to which the Securities are hereby made subordinate on all money or property held or collected by such trustee as such, except for funds held in trust for the benefit of Holders of particular Securities, to secure any amounts then due it pursuant to the provisions of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appointment as provided in this Section 7.10 unless at the time of such acceptance such successor trustee shall be eligible under the provisions of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caps w:val="false"/>
          <w:smallCaps w:val="false"/>
          <w:sz w:val="20"/>
        </w:rPr>
        <w:t>Succession by Merger, Etc.</w:t>
      </w:r>
      <w:r>
        <w:rPr>
          <w:rFonts w:ascii="Times New Roman;Times;Serif" w:hAnsi="Times New Roman;Times;Serif"/>
          <w:b w:val="false"/>
          <w:i w:val="false"/>
          <w:caps w:val="false"/>
          <w:smallCaps w:val="false"/>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corporation or other entity succeeding to all or substantially all of the corporate trust business of the Trustee such corporation or other entity shall be eligible under the provisions of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Securities shall have been authenticated but not delivered, any such successor to the Trustee may adopt the certificate of authentication of any predecessor trustee or authenticating agent appointed by such predecessor trustee, and deliver such Securities so authenticated; and in case at that time any of the Securities shall not have been authenticated, any successor to the Trustee or an authenticating agent appointed by such successor trustee may authenticate such Securities either in the name of any predecessor trustee hereunder or in the name of the successor trustee; and in all such cases such certificates shall have the full force which it is anywhere in the Securities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adopt the certificate of authentication of any predecessor trustee or to authenticate Securities in the name of any predecessor trustee shall apply only to its successor or successors by merger, conversion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caps w:val="false"/>
          <w:smallCaps w:val="false"/>
          <w:sz w:val="20"/>
        </w:rPr>
        <w:t>Trustee’s Application for Instructions from the Company.</w:t>
      </w:r>
      <w:r>
        <w:rPr>
          <w:rFonts w:ascii="Times New Roman;Times;Serif" w:hAnsi="Times New Roman;Times;Serif"/>
          <w:b w:val="false"/>
          <w:i w:val="false"/>
          <w:caps w:val="false"/>
          <w:smallCaps w:val="false"/>
          <w:sz w:val="20"/>
        </w:rPr>
        <w:t xml:space="preserve"> Any application by the Trustee for written instructions from the Company (other than with regard to any action proposed to be taken or omitted to be taken by the Trustee that affects the rights of the Holders of the Securities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Concerning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Action by Holders.</w:t>
      </w:r>
      <w:r>
        <w:rPr>
          <w:rFonts w:ascii="Times New Roman;Times;Serif" w:hAnsi="Times New Roman;Times;Serif"/>
          <w:b w:val="false"/>
          <w:i w:val="false"/>
          <w:caps w:val="false"/>
          <w:smallCaps w:val="false"/>
          <w:sz w:val="20"/>
        </w:rPr>
        <w:t xml:space="preserve"> Whenever in this Indenture it is provided that the Holders of a specified percentage of the aggregate principal amount of the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Securities,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Proof of Execution by Holders.</w:t>
      </w:r>
      <w:r>
        <w:rPr>
          <w:rFonts w:ascii="Times New Roman;Times;Serif" w:hAnsi="Times New Roman;Times;Serif"/>
          <w:b w:val="false"/>
          <w:i w:val="false"/>
          <w:caps w:val="false"/>
          <w:smallCaps w:val="false"/>
          <w:sz w:val="20"/>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Securities shall be proved by the Security Register or by a certificate of the Security Registrar. The record of any Holders’ meeting shall be proved in the manner provided in Section 9.06.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caps w:val="false"/>
          <w:smallCaps w:val="false"/>
          <w:sz w:val="20"/>
        </w:rPr>
        <w:t>Who Are Deemed Absolute Owners.</w:t>
      </w:r>
      <w:r>
        <w:rPr>
          <w:rFonts w:ascii="Times New Roman;Times;Serif" w:hAnsi="Times New Roman;Times;Serif"/>
          <w:b w:val="false"/>
          <w:i w:val="false"/>
          <w:caps w:val="false"/>
          <w:smallCaps w:val="false"/>
          <w:sz w:val="20"/>
        </w:rPr>
        <w:t xml:space="preserve"> The Company, the Trustee, any authenticating agent, any Paying Agent, any Conversion Agent and any Security Registrar may deem the Person in whose name a Security shall be registered upon the Security Register to be, and may treat it as, the absolute owner of such Security (whether or not such Security shall be overdue and notwithstanding any notation of ownership or other writing thereon made by any Person other than the Company or any Security Registrar) for the purpose of receiving payment of or on account of the principal (including any Fundamental Change Repurchase Price) of and (subject to Section 2.03) accrued and unpaid interest on such Security, for conversion of such Security and for all other purposes; and neither the Company nor the Trustee nor any Paying Agent nor any Conversion Agent nor any Security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Security. Notwithstanding anything to the contrary in this Indenture or the Securities following an Event of Default, any holder of a beneficial interest in a Global Security may directly enforce against the Company, without the consent, solicitation, proxy, authorization or any other action of the Depositary or any other Person, such holder’s right to exchange such beneficial interest for a Security in certificated form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caps w:val="false"/>
          <w:smallCaps w:val="false"/>
          <w:sz w:val="20"/>
        </w:rPr>
        <w:t>Company-Owned Securities Disregarded.</w:t>
      </w:r>
      <w:r>
        <w:rPr>
          <w:rFonts w:ascii="Times New Roman;Times;Serif" w:hAnsi="Times New Roman;Times;Serif"/>
          <w:b w:val="false"/>
          <w:i w:val="false"/>
          <w:caps w:val="false"/>
          <w:smallCaps w:val="false"/>
          <w:sz w:val="20"/>
        </w:rPr>
        <w:t xml:space="preserve"> In determining whether the Holders of the requisite aggregate principal amount of Securities have concurred in any direction, consent, waiver or other action under this Indenture, Securities that are owned by the Company, by any Subsidiary thereof or by any Affiliate of the Company or any Subsidiary thereof shall be disregarded and deemed not to be outstanding for the purpose of any such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purposes of determining whether the Trustee shall be protected in relying on any such direction, consent, waiver or other action only Securities that a Responsible Officer knows are so owned shall be so disregarded. Securities so owned that have been pledged in good faith may be regarded as outstanding for the purposes of this Section 8.04 if the pledgee shall establish to the satisfaction of the Trustee the pledgee’s right to so act with respect to such Securities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Securities,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Securities not listed therein are outstanding for the purpose of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caps w:val="false"/>
          <w:smallCaps w:val="false"/>
          <w:sz w:val="20"/>
        </w:rPr>
        <w:t>Revocation of Consents; Future Holders Bound.</w:t>
      </w:r>
      <w:r>
        <w:rPr>
          <w:rFonts w:ascii="Times New Roman;Times;Serif" w:hAnsi="Times New Roman;Times;Serif"/>
          <w:b w:val="false"/>
          <w:i w:val="false"/>
          <w:caps w:val="false"/>
          <w:smallCaps w:val="false"/>
          <w:sz w:val="20"/>
        </w:rPr>
        <w:t xml:space="preserve"> At any time prior to (but not after) the evidencing to the Trustee, as provided in Section 8.01, of the taking of any action by the Holders of the percentage of the aggregate principal amount of the Securities specified in this Indenture in connection with such action, any Holder of a Security that is shown by the evidence to be included in the Securities the Holders of which have consented to such action may, by filing written notice with the Trustee at its Corporate Trust Office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upon registration of transfer thereof, irrespective of whether any notation in regard thereto is made upon such Security or any Security issued in exchange or substitution therefor or upon registration of transfer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Purpose of Meetings.</w:t>
      </w:r>
      <w:r>
        <w:rPr>
          <w:rFonts w:ascii="Times New Roman;Times;Serif" w:hAnsi="Times New Roman;Times;Serif"/>
          <w:b w:val="false"/>
          <w:i w:val="false"/>
          <w:caps w:val="false"/>
          <w:smallCaps w:val="false"/>
          <w:sz w:val="20"/>
        </w:rPr>
        <w:t xml:space="preserve"> A meeting of Holders may be called at any time and from time to time pursuant to the provisions of this Article 9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nominate a successor trustee pursuant to the provisions of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consent to the execution of an indenture or indentures supplemental hereto pursuant to the provisions of Section 10.02;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any specified aggregate principal amount of the Securities under any other provision of this Indenture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Call of Meetings by Trustee.</w:t>
      </w:r>
      <w:r>
        <w:rPr>
          <w:rFonts w:ascii="Times New Roman;Times;Serif" w:hAnsi="Times New Roman;Times;Serif"/>
          <w:b w:val="false"/>
          <w:i w:val="false"/>
          <w:caps w:val="false"/>
          <w:smallCaps w:val="false"/>
          <w:sz w:val="20"/>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Securities. Such notice shall also be delivered to the Company. Such notices shall be delivered not less than 20 nor more than 90 days prior to the date fixed for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shall be valid without notice if the Holders of all Securities then outstanding are present in person or by proxy or if notice is waived before or after the meeting by the Holders of all Securities then outstanding, and if the Company and the Trustee are either present by duly authorized representatives or have, before or after the meeting, waived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Call of Meetings by Company or Holders.</w:t>
      </w:r>
      <w:r>
        <w:rPr>
          <w:rFonts w:ascii="Times New Roman;Times;Serif" w:hAnsi="Times New Roman;Times;Serif"/>
          <w:b w:val="false"/>
          <w:i w:val="false"/>
          <w:caps w:val="false"/>
          <w:smallCaps w:val="false"/>
          <w:sz w:val="20"/>
        </w:rPr>
        <w:t xml:space="preserve"> In case at any time the Company, pursuant to a Board Resolution, or the Holders of at least 10% of the aggregate principal amount of the Securities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caps w:val="false"/>
          <w:smallCaps w:val="false"/>
          <w:sz w:val="20"/>
        </w:rPr>
        <w:t>Qualifications for Voting.</w:t>
      </w:r>
      <w:r>
        <w:rPr>
          <w:rFonts w:ascii="Times New Roman;Times;Serif" w:hAnsi="Times New Roman;Times;Serif"/>
          <w:b w:val="false"/>
          <w:i w:val="false"/>
          <w:caps w:val="false"/>
          <w:smallCaps w:val="false"/>
          <w:sz w:val="20"/>
        </w:rPr>
        <w:t xml:space="preserve"> To be entitled to vote at any meeting of Holders a Person shall (a) be a Holder of one or more Securities on the record date pertaining to such meeting or (b) be a Person appointed by an instrument in writing as proxy by a Holder of one or more Securities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caps w:val="false"/>
          <w:smallCaps w:val="false"/>
          <w:sz w:val="20"/>
        </w:rPr>
        <w:t>Regulations.</w:t>
      </w:r>
      <w:r>
        <w:rPr>
          <w:rFonts w:ascii="Times New Roman;Times;Serif" w:hAnsi="Times New Roman;Times;Serif"/>
          <w:b w:val="false"/>
          <w:i w:val="false"/>
          <w:caps w:val="false"/>
          <w:smallCaps w:val="false"/>
          <w:sz w:val="20"/>
        </w:rPr>
        <w:t xml:space="preserve"> Notwithstanding any other provisions of this Indenture, the Trustee may make such reasonable regulations as it may 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Securities represented at the meeting and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Section 8.04, at any meeting of Holders each Holder or proxyholder shall be entitled to one vote for each $1,000 principal amount of Securities held or represented by him or her;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vote shall be cast or counted at any meeting in respect of any Security challenged as not outstanding and ruled by the chairman of the meeting to be not outstanding. The chairman of the meeting shall have no right to vote other than by virtue of Securities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Securities represented at the meeting, whether or not constituting a quorum, and the meeting may be held as so adjourned without further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xml:space="preserve"> The vote upon any resolution submitted to any meeting of Holders shall be by written ballot on which shall be subscribed the signatures of the Holders or of their representatives by proxy and the outstanding aggregate principal amount of the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record so signed and verified shall be conclusive evidence of the matters therein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val="false"/>
          <w:i/>
          <w:caps w:val="false"/>
          <w:smallCaps w:val="false"/>
          <w:sz w:val="20"/>
        </w:rPr>
        <w:t>No Delay of Rights by Meeting.</w:t>
      </w:r>
      <w:r>
        <w:rPr>
          <w:rFonts w:ascii="Times New Roman;Times;Serif" w:hAnsi="Times New Roman;Times;Serif"/>
          <w:b w:val="false"/>
          <w:i w:val="false"/>
          <w:caps w:val="false"/>
          <w:smallCaps w:val="false"/>
          <w:sz w:val="20"/>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Supplemental Indentures Without Consent of Holders.</w:t>
      </w:r>
      <w:r>
        <w:rPr>
          <w:rFonts w:ascii="Times New Roman;Times;Serif" w:hAnsi="Times New Roman;Times;Serif"/>
          <w:b w:val="false"/>
          <w:i w:val="false"/>
          <w:caps w:val="false"/>
          <w:smallCaps w:val="false"/>
          <w:sz w:val="20"/>
        </w:rPr>
        <w:t xml:space="preserve"> The Company, when authorized by the resolutions of the Board of Directors and the Trustee, at the Company’s expense, may from time to time and at any time enter into an indenture or indentures supplemental hereto or amend the Securities for one or more of the following purposes,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omission, defect or inconsistency under this Indenture 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 for the assumption by a Successor Entity of the Company’s obligations under this Indenture as set forth in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add guarantees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secure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add to the covenants or Events of Default for the benefit of the Holders or surrender any right or power conferred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connection with any Common Stock Change Event, provide that the Securities are convertible in the manner described in Section 14.07 and make such related changes to the terms of the Securities to the extent expressly required by Section 14.07;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provide for the issuance of additional Securities pursuant to Section 2.10;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conform the provisions of this Indenture or the Securities to the “Description of notes” section of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comply with the rules of any applicable Depositary so long as such amendment does not adversely affect the rights of any 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irrevocably elect or eliminate a Settlement Method or a Specified Dollar Amount;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 no such election or elimination shall affect any Settlement Method theretofore elected (or deemed to be elected) with respect to any Security pursuant to the provisions of Article 14 and (ii) in no event may the Company elect (whether directly or by eliminating all other Settlement Methods) Combination Settlement with a Specified Dollar Amount that is less than $1,000 per $1,000 principal amount of Securities;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increase the Conversion Rate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the Trustee is hereby authorized to join with the Company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10.01 may be executed by the Company and the Trustee without notice to or the consent of the Holders of any of the Securities at the time outstanding, notwithstanding any of the provisions of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Supplemental Indentures with Consent of Holders.</w:t>
      </w:r>
      <w:r>
        <w:rPr>
          <w:rFonts w:ascii="Times New Roman;Times;Serif" w:hAnsi="Times New Roman;Times;Serif"/>
          <w:b w:val="false"/>
          <w:i w:val="false"/>
          <w:caps w:val="false"/>
          <w:smallCaps w:val="false"/>
          <w:sz w:val="20"/>
        </w:rPr>
        <w:t xml:space="preserve"> With the consent (evidenced as provided in Article 8) of the Holders of at least a majority of the aggregate principal amount of the Securities then outstanding (determined in accordance with Article 8 and including, without limitation, consents obtained in connection with a repurchase of, or tender or exchange offer for, Securities),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under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without the consent of each Holder of an outstanding Security affected, no such supplemental indenture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Securities whose Holders must consent to 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stated time for payment of interest, including Additional Interest, on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any premium on, or extend the stated maturity of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 any change that adversely affects the conversion rights of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Fundamental Change Repurchase Price of any Security or amend or modify in any manner adverse to the Holders the Company’s obligation to make such payments, whether through an amendment or waiver of provisions of the covenants, definitions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Security payable in money, or at a place of payment, other than that stated in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ranking of the Securities;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and interest on such Holder’s Securities on or after the due dates therefor or to institute suit for the enforcement of any payment on or with respect to such Holder’s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do not need under this Section 10.02 to approve the particular form of any proposed supplemental indenture. It shall be sufficient if such Holders approve the substance thereof. After any such supplemental indenture becomes effective, the Company shall mail to the Holders (with a copy to the Trustee) a notice briefly describing such supplemental indenture. However, the failure to give such notice to all the Holders, or any defect in the notice, will not impair or affect the validity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caps w:val="false"/>
          <w:smallCaps w:val="false"/>
          <w:sz w:val="20"/>
        </w:rPr>
        <w:t>Effect of Supplemental Indentures.</w:t>
      </w:r>
      <w:r>
        <w:rPr>
          <w:rFonts w:ascii="Times New Roman;Times;Serif" w:hAnsi="Times New Roman;Times;Serif"/>
          <w:b w:val="false"/>
          <w:i w:val="false"/>
          <w:caps w:val="false"/>
          <w:smallCaps w:val="false"/>
          <w:sz w:val="20"/>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caps w:val="false"/>
          <w:smallCaps w:val="false"/>
          <w:sz w:val="20"/>
        </w:rPr>
        <w:t>Notation on Securities.</w:t>
      </w:r>
      <w:r>
        <w:rPr>
          <w:rFonts w:ascii="Times New Roman;Times;Serif" w:hAnsi="Times New Roman;Times;Serif"/>
          <w:b w:val="false"/>
          <w:i w:val="false"/>
          <w:caps w:val="false"/>
          <w:smallCaps w:val="false"/>
          <w:sz w:val="20"/>
        </w:rPr>
        <w:t xml:space="preserve"> Securities authenticated and delivered after the execution of any supplemental indenture pursuant to the provisions of this Article 10 may, at the Company’s expense, bear a notation in form approved by the Company and the Trustee as to any matter provided for in such supplemental indenture. If the Company or the Trustee shall so determine, new Securities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Securities then outstanding, upon surrender of such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caps w:val="false"/>
          <w:smallCaps w:val="false"/>
          <w:sz w:val="20"/>
        </w:rPr>
        <w:t>Evidence of Compliance of Supplemental Indenture to Be Furnished Trustee.</w:t>
      </w:r>
      <w:r>
        <w:rPr>
          <w:rFonts w:ascii="Times New Roman;Times;Serif" w:hAnsi="Times New Roman;Times;Serif"/>
          <w:b w:val="false"/>
          <w:i w:val="false"/>
          <w:caps w:val="false"/>
          <w:smallCaps w:val="false"/>
          <w:sz w:val="20"/>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11</w:t>
      </w:r>
      <w:r>
        <w:rPr>
          <w:rFonts w:ascii="Times New Roman;Times;Serif" w:hAnsi="Times New Roman;Times;Serif"/>
          <w:b w:val="false"/>
          <w:i w:val="false"/>
          <w:smallCaps/>
          <w:sz w:val="20"/>
        </w:rPr>
        <w:br/>
        <w:t>Consolidation, Merger, Sale, Conveyance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Company May Consolidate, Etc. on Certain Terms.</w:t>
      </w:r>
      <w:r>
        <w:rPr>
          <w:rFonts w:ascii="Times New Roman;Times;Serif" w:hAnsi="Times New Roman;Times;Serif"/>
          <w:b w:val="false"/>
          <w:i w:val="false"/>
          <w:caps w:val="false"/>
          <w:smallCaps w:val="false"/>
          <w:sz w:val="20"/>
        </w:rPr>
        <w:t xml:space="preserve"> Subject to the provisions of Section 11.02, the Company shall not consolidate with, or merge with or into, or sell, convey, transfer or lease all or substantially all of its properties and assets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resulting, surviving or transferee Person is the Company or, if not the Company, is a Qualified Successor Entity (such Qualified Successor Entity, the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duly organized and existing under the laws of the United States of America, any State thereof or the District of Columbia, and the Successor Entity (if not the Company) expressly assumes, by a supplemental indenture, executed and delivered to the Trustee, in form reasonably satisfactory to the Trustee, all of the obligations of the Company under the Securities and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Business Combination Event, no Default or Event of Default shall have occurred and be continuing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Business Combination Event, the Successor Entity (if not the Company) shall succeed to, and be substituted for, and may exercise every right and power of, the Company under this Indenture, except in the case of a lease of all or substantially all of the Company’s assets, and the Company shall be discharged from its obligations under the Securities and this Indenture except in the case of such lease of all or substantially all of its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consolidated properties and assets of the Company and its direct or indirect Subsidiaries, taken as a whole, shall be deemed to be the sale, conveyance, transfer or lease of all or substantially all of the consolidated properties and assets of the Company and its direct or indirect Subsidiaries, taken as a whole,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the provisions of this Article 11 shall not apply to any transfer of assets between or among the Company and any one or more of its wholly owned Subsidiaries. For the avoidance of doubt, in the case of any such transfer, the transferee shall not succeed to, and the Company shall not be discharged from, its obligations under the Securities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Successor Entity to Be Substituted.</w:t>
      </w:r>
      <w:r>
        <w:rPr>
          <w:rFonts w:ascii="Times New Roman;Times;Serif" w:hAnsi="Times New Roman;Times;Serif"/>
          <w:b w:val="false"/>
          <w:i w:val="false"/>
          <w:caps w:val="false"/>
          <w:smallCaps w:val="false"/>
          <w:sz w:val="20"/>
        </w:rPr>
        <w:t xml:space="preserve"> In case of any Business Combination Event and upon the assumption by the Successor Entity, by supplemental indenture, executed and delivered to the Trustee and satisfactory in form to the Trustee, of the due and punctual payment of the principal of and accrued and unpaid interest on all of the Securities, the due and punctual delivery or payment, as the case may be, of any consideration due upon conversion of the Securities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Such Successor Entity thereupon may cause to be signed, and may issue either in its own name or in the name of the Company any or all of the Securities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Securities that previously shall have been signed and delivered by the Officers of the Company to the Trustee for authentication, and any Securities that such Successor Entity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 In the event of any such Business Combination Event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Securities and from its obligations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Business Combination Event, such changes in phraseology and form (but not in substance) may be made in the Securities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Opinion of Counsel to Be Given to Trustee.</w:t>
      </w:r>
      <w:r>
        <w:rPr>
          <w:rFonts w:ascii="Times New Roman;Times;Serif" w:hAnsi="Times New Roman;Times;Serif"/>
          <w:b w:val="false"/>
          <w:i w:val="false"/>
          <w:caps w:val="false"/>
          <w:smallCaps w:val="false"/>
          <w:sz w:val="20"/>
        </w:rPr>
        <w:t xml:space="preserve"> If the Successor Entity is not the Company, no such Business Combination Event shall be effective unless the Trustee shall have received an Officers’ Certificate and an Opinion of Counsel certifying that any such Business Combination Event and any such assumption and, if a supplemental indenture is required in connection with such Business Combination Event, such supplemental indenture complies with this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12</w:t>
      </w:r>
      <w:r>
        <w:rPr>
          <w:rFonts w:ascii="Times New Roman;Times;Serif" w:hAnsi="Times New Roman;Times;Serif"/>
          <w:b w:val="false"/>
          <w:i w:val="false"/>
          <w:smallCaps/>
          <w:sz w:val="20"/>
        </w:rPr>
        <w:b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caps w:val="false"/>
          <w:smallCaps w:val="false"/>
          <w:sz w:val="20"/>
        </w:rPr>
        <w:t>Indenture and Securities Solely Corporate Obligations.</w:t>
      </w:r>
      <w:r>
        <w:rPr>
          <w:rFonts w:ascii="Times New Roman;Times;Serif" w:hAnsi="Times New Roman;Times;Serif"/>
          <w:b w:val="false"/>
          <w:i w:val="false"/>
          <w:caps w:val="false"/>
          <w:smallCaps w:val="false"/>
          <w:sz w:val="20"/>
        </w:rPr>
        <w:t xml:space="preserve"> No recourse for the payment of the principal of or accrued and unpaid interest on any Security, nor for any claim based thereon or otherwise in respect thereof, and no recourse under or upon any obligation, covenant or agreement of the Company in this Indenture or in any supplemental indenture or in any Security, nor because of the creation of any indebtedness represented thereby, shall be had against any incorporator, stockholder,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13</w:t>
      </w:r>
      <w:r>
        <w:rPr>
          <w:rFonts w:ascii="Times New Roman;Times;Serif" w:hAnsi="Times New Roman;Times;Serif"/>
          <w:b w:val="false"/>
          <w:i w:val="false"/>
          <w:smallCaps/>
          <w:sz w:val="20"/>
        </w:rPr>
        <w:b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14</w:t>
      </w:r>
      <w:r>
        <w:rPr>
          <w:rFonts w:ascii="Times New Roman;Times;Serif" w:hAnsi="Times New Roman;Times;Serif"/>
          <w:b w:val="false"/>
          <w:i w:val="false"/>
          <w:smallCaps/>
          <w:sz w:val="20"/>
        </w:rPr>
        <w:br/>
        <w:t>Conversion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14.01. </w:t>
      </w:r>
      <w:r>
        <w:rPr>
          <w:rFonts w:ascii="Times New Roman;Times;Serif" w:hAnsi="Times New Roman;Times;Serif"/>
          <w:b w:val="false"/>
          <w:i/>
          <w:caps w:val="false"/>
          <w:smallCaps w:val="false"/>
          <w:sz w:val="20"/>
        </w:rPr>
        <w:t>Right to Convert.</w:t>
      </w:r>
      <w:r>
        <w:rPr>
          <w:rFonts w:ascii="Times New Roman;Times;Serif" w:hAnsi="Times New Roman;Times;Serif"/>
          <w:b w:val="false"/>
          <w:i w:val="false"/>
          <w:caps w:val="false"/>
          <w:smallCaps w:val="false"/>
          <w:sz w:val="20"/>
        </w:rPr>
        <w:t xml:space="preserve"> (a) Subject to and upon compliance with the provisions of this Indenture, each Holder shall have the right, at such Holder’s option, to convert its Securities, or any portion of its Securities such that the principal amount that remains outstanding of each Security that is not converted in full equals $1,000 or an integral multiple of $1,000 in excess thereof, into the Settlement Amount determined in accordance with Section 14.03(a) hereof, (x) prior to the Close of Business on the Business Day immediately preceding April 1, 2029, only upon satisfaction of one or more of the conditions described in Section 14.01(b) hereof, and (y) on or after April 1, 2029, at any time prior to the Close of Business on the second Scheduled Trading Day immediately preceding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Prior to the Close of Business on the Business Day immediately preceding April 1, 2029, a Holder may surrender its Securities for conversion at any time during any calendar quarter commencing after the calendar quarter ending on September 30, 2026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110% of the Conversion Price in effect on each applicable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Prior to the Close of Business on the Business Day immediately preceding April 1, 2029, a Holder may surrender all or any portion of its Securities for conversion at any time during the five Business Day period after any ten consecutive Trading Day period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in which the Trading Price per $1,000 principal amount of Securities, as determined following a request by a Holder of at least $1,000,000 principal amount of Securities in accordance with the procedures set forth in this subsection 14.01(b)(ii), for each Trading Day of such Measurement Period was less than 98% of the product of (1) the Last Reported Sale Price of the Common Stock on such Trading Day and (2) the Conversion Rate in effect on such Trading Day. The Trading Prices shall be determined by the Bid Solicitation Agent pursuant to this subsection 14.01(b)(ii) and the definition of “Trading Price” set forth in this Indenture. The Company shall provide written notice to the Bid Solicitation Agent (if other than the Company) of the three independent nationally recognized securities dealers selected by the Company in accordance with the definition of Trading Price, along with the appropriate contact information for each. The Bid Solicitation Agent (if other than the Company) shall have no obligation to determine the Trading Price per $1,000 principal amount of Securities unless the Company has requested such determination; and the Company shall have no obligation to make such request (or, if the Company is the Bid Solicitation Agent, the Company shall have no obligation to determine the Trading Price of the Securities) unless a Holder of at least $1,000,000 principal amount of Securities provides the Company with reasonable evidence that the Trading Price per $1,000 principal amount of Securities would be less than 98% of the product of (1) the Last Reported Sale Price of the Common Stock on such Trading Day and (2) the Conversion Rate in effect on such Trading Day. At such time, the Company shall instruct the Bid Solicitation Agent (if other than the Company) to determine (or, if the Company is the Bid Solicitation Agent, the Company shall determine) the Trading Price per $1,000 principal amount of the Securities beginning on the next Trading Day and on each successive Trading Day until the Trading Price per $1,000 principal amount of Securities for a Trading Day is greater than or equal to 98% of the product of (1) the Last Reported Sale Price of the Common Stock on such Trading Day and (2) the Conversion Rate in effect on such Trading Day. At such time as the Company directs the Bid Solicitation Agent (if other than the Company) in writing to solicit bid quotations, the Company will provide the Bid Solicitation Agent with the names and contact details of the three independent nationally recognized securities dealers selected by the Company, and the Company will direct those securities dealers to provide bids to the Bid Solicitation Agent in accordance with the definition of “Trading Price.” Whenever the condition to conversion set forth in this subsection 14.01(b)(ii) has been met, but was not met on the immediately preceding Trading Day, the Company will so notify the Holders, the Trustee and the Conversion Agent (if other than the Trustee). If, at any time after the condition to conversion set forth in this subsection 14.01(b)(ii) has been met, the condition to conversion set forth in this subsection 14.01(b)(ii) ceases to be met, the Company will so notify the Holders, the Trustee and the Conversion Agent (if other than the Trustee) promptly after such condition ceases to be met. The Company will initially act as Bid Solicitation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prior to the Close of Business on the Business Day immediately preceding April 1, 2029, the Company elects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8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(taking into account any consideration received by the Company as described in Section 14.04(b));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8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distribute to all or substantially all holders of the Common Stock the Company’s assets, securities or rights to purchase the Company’s securities, which distribution has a per-share value, as reasonably determined by the Board of Directors, exceeding 10% of the Last Reported Sale Price of the Common Stock on the Trading Day immediately preceding the date of announcement for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the Company must deliver notice of such issuance or distribution, and of the Ex-Dividend Date for such issuance or distribution, to the Holders, the Trustee and the Conversion Agent (if other than the Trustee) at least 50 Scheduled Trading Days prior to the Ex-Dividend Date for such issuance or distribution. Once the Company has given such notice, Holders may surrender all or any portion of their Securities for conversion at any time until the earlier of (1) the Close of Business on the Business Day immediately preceding the Ex-Dividend Date for such issuance or distribution and (2) the Company’s announcement that such issuance or distribution will not take place, even if the Securities are not otherwise convertible at such time; provided, however, that Holders shall not have the right to convert their Securities pursuant to this subsection 14.01(b)(iii) if the Company provides that Holders shall participate, at the same time and upon the same terms, as holders of the Common Stock in any of the transactions described above without having to convert their Securities as if they held a number of shares of the Common Stock equal to the Conversion Rate in effect immediately prior to the Open of Business on the Ex-Dividend Date for such issuance or distribution multiplied by the principal amount (expressed in thousands) of Securities held by such Holder on the Ex-Dividend Date for such issuance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a Fundamental Change or a Make-Whole Fundamental Change occurs prior to the Close of Business on the Business Day immediately preceding April 1, 2029, regardless of whether a Holder has the right to require the Company to repurchase the Securities as described under Article 15, or (B) the Company is a party to a consolidation, merger, binding share exchange, or transfer or lease of all or substantially all of its assets (other than a merger effected solely to change the Company’s jurisdiction of incorporation that does not otherwise constitute a Fundamental Change or a Make-Whole Fundamental Change), in each case, pursuant to which the Common Stock would be converted into cash, securities or other assets, then all or any portion of a Holder’s Securities may be surrendered for conversion at any time from or after the effective date of the transaction or event until 35 Trading Days after such effective date or, if such transaction or event also constitutes a Fundamental Change (other than an Exempted Fundamental Change), until the related Fundamental Change Repurchase Date. The Company will notify the Holders, the Trustee and the Conversion Agent (if other than the Trustee) no later than the effective date of such transaction or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of the Securities or this Indenture, no Holder of Securities will be entitled to receive Common Stock following conversion of such Securities to the extent that receipt of such Common Stock would cause such Holder to exceed the ownership limitations contained in the Company’s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delivery of shares of Common Stock owed to a Holder upon conversion of Securities is not made, in whole or in part, as a result of the limitations described in Section 14.01(c), the Company’s obligation to make such delivery shall not be extinguished and the Company shall deliver such shares as promptly as practicable after any such converting Holder gives notice to the Company that such delivery would not result in it exceeding the ownership limitations in the Company’s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14.02. </w:t>
      </w:r>
      <w:r>
        <w:rPr>
          <w:rFonts w:ascii="Times New Roman;Times;Serif" w:hAnsi="Times New Roman;Times;Serif"/>
          <w:b w:val="false"/>
          <w:i/>
          <w:caps w:val="false"/>
          <w:smallCaps w:val="false"/>
          <w:sz w:val="20"/>
        </w:rPr>
        <w:t>Conversion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Security shall be convertible at the office of the Conversion Agent and, if applicable, in accordance with the Applicable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exercise the conversion privilege with respect to a beneficial interest in a Global Security, the Holder must comply with the Applicable Procedures of the Depositary in effect at that time, and pay the funds, if any, required by Section 14.02(f), and the Conversion Agent must be informed of the conversion in accordance with the Applicable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the conversion privilege with respect to any Physical Securities, the Holder of such Physical Securities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complete and manually sign a conversion notice in the form set forth in the Form of Notice of Conversion (the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or a facsimile of the 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 the Conversion Notice, which is irrevocable, and the Security to the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required, furnish appropriate endorsements and transfer documents;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required, make any payment required under Section 14.02(f).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conversion of a Security, any shares of Common Stock are to be issued to a Person other than the Holder of such Security, the related Conversion Notice shall include such other Person’s name and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subject to a Fundamental Change Repurchase Notice, such Security may not be converted unless such Fundamental Change Repurchase Notice is withdrawn in accordance with Section 15.04 hereof prior to the relevant Fundamental Change Expiration Time. If a Holder submits its Securities for repurchase pursuant to a Fundamental Change Repurchase Notice, such Holder’s right to withdraw the Fundamental Change Repurchase Notice and convert the Securities that are subject to repurchase shall terminate at the Close of Business on the Business Day immediately preceding the relevant Fundamental Change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Security, the first Business Day on which the Holder of such Security satisfies all of the applicable requirements set forth above with respect to such Security and on which conversion of such Security is not otherwise prohibited under this Indenture shall be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with respect to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conversion shall be deemed to have been effected as to any such Securities (or portion thereof) surrendered for conversion at the Close of Business on the applicable Conversion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Person in whose name the certificate for any shares of Common Stock delivered upon conversion is registered shall be treated as a stockholder of record as of the Close of Business on the last Trading Day of the applicable Observation Period except to the extent required by Section 14.04 hereof. At the Close of Business on the Conversion Date for a Security, the converting Holder shall no longer be the Holder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Endorsement</w:t>
      </w:r>
      <w:r>
        <w:rPr>
          <w:rFonts w:ascii="Times New Roman;Times;Serif" w:hAnsi="Times New Roman;Times;Serif"/>
          <w:b w:val="false"/>
          <w:i w:val="false"/>
          <w:caps w:val="false"/>
          <w:smallCaps w:val="false"/>
          <w:sz w:val="20"/>
        </w:rPr>
        <w:t>. Any Securities surrendered for conversion shall, unless shares of Common Stock issuable on conversion are to be issued in the same name as the registration of such Securities, be duly endorsed by, or be accompanied by instruments of transfer in form satisfactory to the Company duly executed by, the Holder or its duly authorized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Physical Securities</w:t>
      </w:r>
      <w:r>
        <w:rPr>
          <w:rFonts w:ascii="Times New Roman;Times;Serif" w:hAnsi="Times New Roman;Times;Serif"/>
          <w:b w:val="false"/>
          <w:i w:val="false"/>
          <w:caps w:val="false"/>
          <w:smallCaps w:val="false"/>
          <w:sz w:val="20"/>
        </w:rPr>
        <w:t>. If any Physical Securities in a denomination greater than $1,000 shall be surrendered for partial conversion, the Company shall execute and the Trustee shall authenticate and deliver to the Holder of the Securities so surrendered, without charge, new Securities in authorized denominations in an aggregate principal amount equal to the unconverted portion of the surrendered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Upon the conversion of a beneficial interest in Global Securities, the Conversion Agent shall make a notation in its records as to the reduction in the principal amount represented thereby. The Company shall notify the Trustee in writing of any conversions of Securities effected through any Conversion Agent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Interest Due Upon Conversion</w:t>
      </w:r>
      <w:r>
        <w:rPr>
          <w:rFonts w:ascii="Times New Roman;Times;Serif" w:hAnsi="Times New Roman;Times;Serif"/>
          <w:b w:val="false"/>
          <w:i w:val="false"/>
          <w:caps w:val="false"/>
          <w:smallCaps w:val="false"/>
          <w:sz w:val="20"/>
        </w:rPr>
        <w:t>. If a Holder converts a Security after the Close of Business on a Regular Record Date but prior to the Open of Business on the Interest Payment Date corresponding to such Regular Record Date, such Holder must accompany such Security with an amount of cash equal to the amount of interest payable on such Security on the corresponding Interest Payment Date (regardless of whether the converting Holder was the Holder of record on the corresponding Regular Record Date); provided, however, that a Holder need not make such payment (1) if the Conversion Date follows the Regular Record Date immediately preceding the Maturity Date; (2) if the Company has specified a Fundamental Change Repurchase Date that is after a Regular Record Date and on or prior to the Business Day immediately following the corresponding Interest Payment Date; or (3) to the extent of any overdue interest, if any overdue interest exists at the time of conversion with respect to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Taxes Due upon Conversion</w:t>
      </w:r>
      <w:r>
        <w:rPr>
          <w:rFonts w:ascii="Times New Roman;Times;Serif" w:hAnsi="Times New Roman;Times;Serif"/>
          <w:b w:val="false"/>
          <w:i w:val="false"/>
          <w:caps w:val="false"/>
          <w:smallCaps w:val="false"/>
          <w:sz w:val="20"/>
        </w:rPr>
        <w:t>. If a Holder converts a Security, the Company will pay any documentary, stamp or similar issue or transfer tax due on the issue of any shares of the Common Stock upon the conversion, unless the tax is due because the Holder requests that any shares be issued in a name other than the Holder’s name, in which case the Holder will pay that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14.03. </w:t>
      </w:r>
      <w:r>
        <w:rPr>
          <w:rFonts w:ascii="Times New Roman;Times;Serif" w:hAnsi="Times New Roman;Times;Serif"/>
          <w:b w:val="false"/>
          <w:i/>
          <w:caps w:val="false"/>
          <w:smallCaps w:val="false"/>
          <w:sz w:val="20"/>
        </w:rPr>
        <w:t>Settlement Upon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Settlement Amount</w:t>
      </w:r>
      <w:r>
        <w:rPr>
          <w:rFonts w:ascii="Times New Roman;Times;Serif" w:hAnsi="Times New Roman;Times;Serif"/>
          <w:b w:val="false"/>
          <w:i w:val="false"/>
          <w:caps w:val="false"/>
          <w:smallCaps w:val="false"/>
          <w:sz w:val="20"/>
        </w:rPr>
        <w:t>. Subject to Section 14.01(c), Section 14.01(d), this Section 14.03 and Section 14.06(b), if a Holder converts a Security, the Company shall pay, or pay and deliver to such Holder, as applicable, in respect of each $1,000 principal amount of Securities being converted, solely cash or a combination of cash and Common Stock (the “</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at the Company’s election, as set forth in this Section 14.03.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pay, or pay and deliver, as applicable, the Settlement Amount on the second Business Day immediately following the last Trading Day of the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conversions for which the relevant Conversion Date occurs on or after April 1, 2029 will be settled using the same Settlement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for any conversions for which the relevant Conversion Date occurs on or after April 1, 2029, the Company will use the same Settlement Method for all conversions with the same Conversion Date, but the Company will not have any obligation to use the same Settlement Method with respect to conversions with different Conversion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 respect to each Conversion Date occurring prior to April 1, 2029, the Company shall deliver a notice (each, a “</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of the relevant Settlement Method to the Holders, the Trustee and the Conversion Agent not later than the Close of Business on the Trading Day immediately following the related Conversion Date (or in the case of any conversions for which the relevant Conversion Date occurs on or after April 1, 2029, no later than the Open of Business on April 1, 2029). Each such Settlement Notice shall specify whether the Company shall satisfy its conversion obligation by (i) paying solely cash (“</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or (ii) paying and delivering, as applicable, a combination of cash and shares of Common Stock (“</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 In the case of an election that provides for Combination Settlement, the relevant Settlement Notice shall indicate the Specified Dollar Amount. If the Company does not deliver a Settlement Notice within the time periods specified above, or if the Company provides a Settlement Notice within the time periods specified above and elects Combination Settlement but the Settlement Notice does not specify a Specified Dollar Amount, the Company will be deemed to have elected Combination Settlement with a Specified Dollar Amount of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notice to the Holders, the Trustee and the Conversion Agent (if other than the Trustee), the Company may, prior to April 1, 2029, at its option, irrevocably elect a Settlement Method and/or a Specified Dollar Amount (or a minimum Specified Dollar Amount or range of Specified Dollar Amounts), or eliminate its right to elect a Settlement Method, for all Conversion Dates occurring subsequent to delivery of such notice;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such irrevocable election will affect any Settlement Method theretofore elected (or deemed to be elected) with respect to any Security pursuant to this Indenture, and in no event may the Company elect (whether directly or by eliminating all other Settlement Methods) Combination Settlement with a Specified Dollar Amount that is less than $1,000 per $1,000 principal amount of Securities. For the avoidance of doubt, such an irrevocable election, if made, will be effective without the need to amend this Indenture or the Securities, including pursuant to Section 10.01(k) 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the Company may nonetheless choose to execute such an amendment at its option. Should the Company irrevocably elect a Settlement Method and/or a Specified Dollar Amount (or a minimum Specified Dollar Amount or range of Specified Dollar Amounts), or eliminate its right to elect a Settlement Method, pursuant to the terms of this Section 14.03(a)(iv), then, concurrently with providing notice to Holders of such change or election, the Company shall post notice of such election on its website or disclose the same in a current report on Form 8-K (or any successor form) that is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Settlement Amount in respect of any conversion shall be computed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8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elects (or is deemed to have elected) Cash Settlement, the Company shall pay to the converting Holder in respect of each $1,000 principal amount of Securities being converted cash in an amount equal to the sum of the Daily Conversion Values for each of the 40 consecutive Trading Days during the related Observation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8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elects (or is deemed to have elected) Combination Settlement, the Company shall pay, or pay and deliver, as the case may be, to the converting Holder in respect of each $1,000 principal amount of Securities being converted, a Settlement Amount equal to the sum of the Daily Settlement Amounts for each of the 40 consecutive Trading Days during the related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w:t>
      </w:r>
      <w:r>
        <w:rPr>
          <w:rFonts w:ascii="Times New Roman;Times;Serif" w:hAnsi="Times New Roman;Times;Serif"/>
          <w:b/>
          <w:i w:val="false"/>
          <w:caps w:val="false"/>
          <w:smallCaps w:val="false"/>
          <w:sz w:val="20"/>
        </w:rPr>
        <w:t>Daily Settlement Amount</w:t>
      </w:r>
      <w:r>
        <w:rPr>
          <w:rFonts w:ascii="Times New Roman;Times;Serif" w:hAnsi="Times New Roman;Times;Serif"/>
          <w:b w:val="false"/>
          <w:i w:val="false"/>
          <w:caps w:val="false"/>
          <w:smallCaps w:val="false"/>
          <w:sz w:val="20"/>
        </w:rPr>
        <w:t>” for each of the 40 consecutive Trading Days of the applicable Observation Period, will consist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8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equal to the lesser of (i) the maximum cash amount (excluding cash in lieu of any fractional share) per $1,000 principal amount of Securities to be received upon conversion as specified in the Settlement Notice (or deemed specified as set forth above) (the “</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xml:space="preserve">”), if any, </w:t>
      </w:r>
      <w:r>
        <w:rPr>
          <w:rFonts w:ascii="Times New Roman;Times;Serif" w:hAnsi="Times New Roman;Times;Serif"/>
          <w:b w:val="false"/>
          <w:i/>
          <w:caps w:val="false"/>
          <w:smallCaps w:val="false"/>
          <w:sz w:val="20"/>
        </w:rPr>
        <w:t>divided</w:t>
      </w:r>
      <w:r>
        <w:rPr>
          <w:rFonts w:ascii="Times New Roman;Times;Serif" w:hAnsi="Times New Roman;Times;Serif"/>
          <w:b w:val="false"/>
          <w:i w:val="false"/>
          <w:caps w:val="false"/>
          <w:smallCaps w:val="false"/>
          <w:sz w:val="20"/>
        </w:rPr>
        <w:t xml:space="preserve"> by 40 (such quotient being referred to as the “</w:t>
      </w:r>
      <w:r>
        <w:rPr>
          <w:rFonts w:ascii="Times New Roman;Times;Serif" w:hAnsi="Times New Roman;Times;Serif"/>
          <w:b/>
          <w:i w:val="false"/>
          <w:caps w:val="false"/>
          <w:smallCaps w:val="false"/>
          <w:sz w:val="20"/>
        </w:rPr>
        <w:t>Daily Measurement Value</w:t>
      </w:r>
      <w:r>
        <w:rPr>
          <w:rFonts w:ascii="Times New Roman;Times;Serif" w:hAnsi="Times New Roman;Times;Serif"/>
          <w:b w:val="false"/>
          <w:i w:val="false"/>
          <w:caps w:val="false"/>
          <w:smallCaps w:val="false"/>
          <w:sz w:val="20"/>
        </w:rPr>
        <w:t>”) and (ii) the Daily Conversion Value for such Trading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8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Daily Conversion Value for such Trading Day exceeds the Daily Measurement Value for such Trading Day, a number of shares of Common Stock equal to (i) the difference between the Daily Conversion Value and the Daily Measurement Value, </w:t>
      </w:r>
      <w:r>
        <w:rPr>
          <w:rFonts w:ascii="Times New Roman;Times;Serif" w:hAnsi="Times New Roman;Times;Serif"/>
          <w:b w:val="false"/>
          <w:i/>
          <w:caps w:val="false"/>
          <w:smallCaps w:val="false"/>
          <w:sz w:val="20"/>
        </w:rPr>
        <w:t>divided</w:t>
      </w:r>
      <w:r>
        <w:rPr>
          <w:rFonts w:ascii="Times New Roman;Times;Serif" w:hAnsi="Times New Roman;Times;Serif"/>
          <w:b w:val="false"/>
          <w:i w:val="false"/>
          <w:caps w:val="false"/>
          <w:smallCaps w:val="false"/>
          <w:sz w:val="20"/>
        </w:rPr>
        <w:t xml:space="preserve"> by (ii) the Daily VWAP for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in no event will the Specified Dollar Amount per Security be less than $1,000 per $1,000 principal amount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Settlement Amount or Daily Conversion Values shall be determined by the Company promptly following the last day of the Observation Period. Promptly after such determination, the Company shall notify the Trustee and the Conversion Agent of the Daily Settlement Amounts or the Daily Conversion Values, as the case may be, and the amount of cash deliverable in lieu of fractional shares of Common Stock. The Trustee and the Conversion Agent shall be entitled to rely exclusively on the notice given by the Company and shall have no responsibility for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Notwithstanding the foregoing, the Company will not issue fractional shares of Common Stock with respect to any converted Security in respect of which shares of Common Stock are deliverable. Instead, if any such shares of Common Stock includes a fraction of a share of Common Stock, the Company will, in lieu of delivering such fraction of a share of Common Stock, pay an amount of cash equal to the product of (i) such fraction of a share and (ii) the Daily VWAP on the last Trading Day of the applicable Observation Period, subject to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Holder surrenders more than one Security for conversion on a single Conversion Date, the Company will calculate the amount of cash and the number of shares of Common Stock due with respect to such Securities as if such Holder had surrendered for conversion one Security having an aggregate principal amount equal to the sum of the principal amounts of each of the Securities surrendered for conversion by such Holder on such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Settlement of Accrued Interest and Deemed Payment of Principal</w:t>
      </w:r>
      <w:r>
        <w:rPr>
          <w:rFonts w:ascii="Times New Roman;Times;Serif" w:hAnsi="Times New Roman;Times;Serif"/>
          <w:b w:val="false"/>
          <w:i w:val="false"/>
          <w:caps w:val="false"/>
          <w:smallCaps w:val="false"/>
          <w:sz w:val="20"/>
        </w:rPr>
        <w:t xml:space="preserve">. Subject to Section 14.02(f), if a Holder converts a Security, the Company will not adjust the Conversion Rate to account for any accrued and unpaid interest on such Security and the Company’s delivery of the amount of cash and the number of shares of Common Stock, if any, into which a Security is convertible will be deemed to satisfy and discharge in full the Company’s obligation to pay the principal of, and accrued and unpaid interest, if any, on, such Security to, but excluding, the Conversion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 Holder converts a Security after the Close of Business on a Regular Record Date and prior to the Open of Business on the corresponding Interest Payment Date, the Company will still be obligated to pay the interest due on such Interest Payment Date to the Holder of such Security at the Close of Business on such Regular Record Date. As a result of the foregoing, and Section 14.02(f), the Company will pay accrued and unpaid interest on the Maturity Date on all Securities converted after the Regular Record Date immediately preceding the Maturity Date to the holders of record of such Securities as of the Close of Business on such Regular Record Date, and converting Holders will not be required to pay the Company equivalent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except as otherwise provided in the proviso to the first sentence of the immediately preceding paragraph, any accrued and unpaid interest with respect to a converted Security will be deemed to be paid in full rather than cancelled, extinguished or forfeited. In addition, except as otherwise provided in the proviso to the first sentence of the immediately preceding paragraph, if the Settlement Amount for any Security includes both cash and shares of the Common Stock, accrued and unpaid interest will be deemed to be paid first out of the amount of cash delivered upon such conversion. Except as otherwise provided herein, in no event will a Holder be entitled to receive any dividend or other distribution with respect to any Common Stock issued on conversion of such Holder’s Securities if the applicable Conversion Date is after the Regular Record Date for such dividend or distribution. Prior to any conversion in accordance with this Section 14.03, a Holder shall not be the owner of any Common Stock issuable upon conversion of such Holder’s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Whenever a Conversion Date occurs with respect to a Security, the Conversion Agent will, as promptly as possible, and in no event later than the Business Day immediately following such Conversion Date, deliver to the Company and the Trustee, if it is not then the Conversion Agent, notice that a Conversion Date has occurred, which notice will state such Conversion Date, the principal amount of Securities converted on such Conversion Date and the names of the Holders that converted Securities on such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14.04. </w:t>
      </w:r>
      <w:r>
        <w:rPr>
          <w:rFonts w:ascii="Times New Roman;Times;Serif" w:hAnsi="Times New Roman;Times;Serif"/>
          <w:b w:val="false"/>
          <w:i/>
          <w:caps w:val="false"/>
          <w:smallCaps w:val="false"/>
          <w:sz w:val="20"/>
        </w:rPr>
        <w:t>Adjustment of Conversion Rate.</w:t>
      </w:r>
      <w:r>
        <w:rPr>
          <w:rFonts w:ascii="Times New Roman;Times;Serif" w:hAnsi="Times New Roman;Times;Serif"/>
          <w:b w:val="false"/>
          <w:i w:val="false"/>
          <w:caps w:val="false"/>
          <w:smallCaps w:val="false"/>
          <w:sz w:val="20"/>
        </w:rPr>
        <w:t xml:space="preserve"> The Conversion Rate will be adjusted as described in this Section 14.04, except that the Company shall not make any adjustments to the Conversion Rate if Holders participate (other than in the case of (x) a share split or share combination or (y) a tender or exchange offer), at the same time and upon the same terms as holders of the Common Stock and solely as a result of holding the Securities, in any of the transactions described below without having to convert their Securities, as if they held a number of shares of Common Stock equal to the Conversion Rate, </w:t>
      </w:r>
      <w:r>
        <w:rPr>
          <w:rFonts w:ascii="Times New Roman;Times;Serif" w:hAnsi="Times New Roman;Times;Serif"/>
          <w:b w:val="false"/>
          <w:i/>
          <w:caps w:val="false"/>
          <w:smallCaps w:val="false"/>
          <w:sz w:val="20"/>
        </w:rPr>
        <w:t>multiplied</w:t>
      </w:r>
      <w:r>
        <w:rPr>
          <w:rFonts w:ascii="Times New Roman;Times;Serif" w:hAnsi="Times New Roman;Times;Serif"/>
          <w:b w:val="false"/>
          <w:i w:val="false"/>
          <w:caps w:val="false"/>
          <w:smallCaps w:val="false"/>
          <w:sz w:val="20"/>
        </w:rPr>
        <w:t xml:space="preserve"> by the principal amount (expressed in thousands) of Securities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exclusively issues shares of Common Stock as a dividend or other distribution on shares of the Common Stock, or if the Company effects a share split or share combination, the Conversion Rate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left"/>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of such dividend or other distribution, or immediately prior to the Open of Business on the Effective Date of such share split or share combination,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
        <w:gridCol w:w="155"/>
        <w:gridCol w:w="9624"/>
      </w:tblGrid>
      <w:tr>
        <w:trPr/>
        <w:tc>
          <w:tcPr>
            <w:tcW w:w="426"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24" w:type="dxa"/>
            <w:tcBorders/>
            <w:vAlign w:val="center"/>
          </w:tcPr>
          <w:p>
            <w:pPr>
              <w:pStyle w:val="TableContents"/>
              <w:bidi w:val="0"/>
              <w:spacing w:before="0" w:after="283"/>
              <w:jc w:val="left"/>
              <w:rPr/>
            </w:pPr>
            <w:r>
              <w:rPr/>
              <w:t>the Conversion Rate in effect immediately after the Open of Business on such Ex-Dividend Date or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125"/>
        <w:gridCol w:w="9715"/>
      </w:tblGrid>
      <w:tr>
        <w:trPr/>
        <w:tc>
          <w:tcPr>
            <w:tcW w:w="365" w:type="dxa"/>
            <w:tcBorders/>
            <w:vAlign w:val="center"/>
          </w:tcPr>
          <w:p>
            <w:pPr>
              <w:pStyle w:val="TableContents"/>
              <w:bidi w:val="0"/>
              <w:spacing w:before="0" w:after="283"/>
              <w:jc w:val="left"/>
              <w:rPr>
                <w:sz w:val="20"/>
              </w:rPr>
            </w:pPr>
            <w:r>
              <w:rPr>
                <w:sz w:val="20"/>
              </w:rPr>
              <w:t>OS</w:t>
            </w:r>
            <w:r>
              <w:rPr>
                <w:position w:val="-2"/>
                <w:sz w:val="16"/>
                <w:sz w:val="20"/>
              </w:rPr>
              <w:t>0</w:t>
            </w:r>
          </w:p>
        </w:tc>
        <w:tc>
          <w:tcPr>
            <w:tcW w:w="125" w:type="dxa"/>
            <w:tcBorders/>
            <w:vAlign w:val="center"/>
          </w:tcPr>
          <w:p>
            <w:pPr>
              <w:pStyle w:val="TableContents"/>
              <w:bidi w:val="0"/>
              <w:spacing w:before="0" w:after="283"/>
              <w:jc w:val="both"/>
              <w:rPr>
                <w:sz w:val="20"/>
              </w:rPr>
            </w:pPr>
            <w:r>
              <w:rPr>
                <w:sz w:val="20"/>
              </w:rPr>
              <w:t>=</w:t>
            </w:r>
          </w:p>
        </w:tc>
        <w:tc>
          <w:tcPr>
            <w:tcW w:w="9715" w:type="dxa"/>
            <w:tcBorders/>
            <w:vAlign w:val="center"/>
          </w:tcPr>
          <w:p>
            <w:pPr>
              <w:pStyle w:val="TableContents"/>
              <w:bidi w:val="0"/>
              <w:spacing w:before="0" w:after="283"/>
              <w:jc w:val="both"/>
              <w:rPr/>
            </w:pPr>
            <w:r>
              <w:rPr/>
              <w:t>the number of shares of Common Stock outstanding immediately prior to the Open of Business on such Ex-Dividend Date or Effective Date;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125"/>
        <w:gridCol w:w="9765"/>
      </w:tblGrid>
      <w:tr>
        <w:trPr/>
        <w:tc>
          <w:tcPr>
            <w:tcW w:w="315" w:type="dxa"/>
            <w:tcBorders/>
            <w:vAlign w:val="center"/>
          </w:tcPr>
          <w:p>
            <w:pPr>
              <w:pStyle w:val="TableContents"/>
              <w:bidi w:val="0"/>
              <w:spacing w:before="0" w:after="283"/>
              <w:jc w:val="left"/>
              <w:rPr>
                <w:sz w:val="20"/>
              </w:rPr>
            </w:pPr>
            <w:r>
              <w:rPr>
                <w:sz w:val="20"/>
              </w:rPr>
              <w:t>OS’</w:t>
            </w:r>
          </w:p>
        </w:tc>
        <w:tc>
          <w:tcPr>
            <w:tcW w:w="125" w:type="dxa"/>
            <w:tcBorders/>
            <w:vAlign w:val="center"/>
          </w:tcPr>
          <w:p>
            <w:pPr>
              <w:pStyle w:val="TableContents"/>
              <w:bidi w:val="0"/>
              <w:spacing w:before="0" w:after="283"/>
              <w:jc w:val="left"/>
              <w:rPr>
                <w:sz w:val="20"/>
              </w:rPr>
            </w:pPr>
            <w:r>
              <w:rPr>
                <w:sz w:val="20"/>
              </w:rPr>
              <w:t>=</w:t>
            </w:r>
          </w:p>
        </w:tc>
        <w:tc>
          <w:tcPr>
            <w:tcW w:w="9765" w:type="dxa"/>
            <w:tcBorders/>
            <w:vAlign w:val="center"/>
          </w:tcPr>
          <w:p>
            <w:pPr>
              <w:pStyle w:val="TableContents"/>
              <w:bidi w:val="0"/>
              <w:spacing w:before="0" w:after="283"/>
              <w:jc w:val="left"/>
              <w:rPr/>
            </w:pPr>
            <w:r>
              <w:rPr/>
              <w:t>the number of shares of Common Stock outstanding immediately after giving effect to such dividend, distribution, share split or share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made under this Section 14.04(a) shall become effective immediately after the Open of Business on the Ex-Dividend Date for such dividend or other distribution, or immediately after the Open of Business on the Effective Date for such share split or share combination, as applicable. If any dividend or other distribution of the type described in this Section 14.04(a) is declared but not so paid or made, the Conversion Rate shall be immediately readjusted, effective as of the date the Board of Directors determines not to pay such dividend or other distribution to the Conversion Rate that would then be in effect if such dividend or other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issues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issuance;</w:t>
            </w:r>
          </w:p>
        </w:tc>
      </w:tr>
    </w:tbl>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440"/>
        <w:gridCol w:w="155"/>
        <w:gridCol w:w="9230"/>
      </w:tblGrid>
      <w:tr>
        <w:trPr/>
        <w:tc>
          <w:tcPr>
            <w:tcW w:w="440"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9595" w:type="dxa"/>
            <w:tcBorders/>
            <w:vAlign w:val="center"/>
          </w:tcPr>
          <w:p>
            <w:pPr>
              <w:pStyle w:val="TableContents"/>
              <w:bidi w:val="0"/>
              <w:spacing w:before="0" w:after="283"/>
              <w:jc w:val="both"/>
              <w:rPr/>
            </w:pPr>
            <w:r>
              <w:rPr/>
              <w:t>the number of shares of Common Stock outstanding immediately prior to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035" w:type="dxa"/>
        <w:jc w:val="left"/>
        <w:tblInd w:w="0" w:type="dxa"/>
        <w:tblLayout w:type="fixed"/>
        <w:tblCellMar>
          <w:top w:w="0" w:type="dxa"/>
          <w:left w:w="0" w:type="dxa"/>
          <w:bottom w:w="0" w:type="dxa"/>
          <w:right w:w="0" w:type="dxa"/>
        </w:tblCellMar>
      </w:tblPr>
      <w:tblGrid>
        <w:gridCol w:w="215"/>
        <w:gridCol w:w="155"/>
        <w:gridCol w:w="9665"/>
      </w:tblGrid>
      <w:tr>
        <w:trPr/>
        <w:tc>
          <w:tcPr>
            <w:tcW w:w="215"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the total number of shares of Common Stock issuable pursuant to such rights, options or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155"/>
        <w:gridCol w:w="9835"/>
      </w:tblGrid>
      <w:tr>
        <w:trPr/>
        <w:tc>
          <w:tcPr>
            <w:tcW w:w="215" w:type="dxa"/>
            <w:tcBorders/>
            <w:vAlign w:val="center"/>
          </w:tcPr>
          <w:p>
            <w:pPr>
              <w:pStyle w:val="TableContents"/>
              <w:bidi w:val="0"/>
              <w:spacing w:before="0" w:after="283"/>
              <w:jc w:val="left"/>
              <w:rPr/>
            </w:pPr>
            <w:r>
              <w:rPr/>
              <w:t>Y</w:t>
            </w:r>
          </w:p>
        </w:tc>
        <w:tc>
          <w:tcPr>
            <w:tcW w:w="155"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left"/>
              <w:rPr/>
            </w:pPr>
            <w:r>
              <w:rPr/>
              <w:t xml:space="preserve">the number of shares of Common Stock equal to the aggregate price payable to exercise such rights, options or warrants, </w:t>
            </w:r>
            <w:r>
              <w:rPr>
                <w:i/>
              </w:rPr>
              <w:t>divided by</w:t>
            </w:r>
            <w:r>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this Section 14.04(b) will be made successively whenever any such rights, options or warrants are issued and shall become effective immediately after the Open of Business on the Ex-Dividend Date for such issuance. To the extent that shares of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their expiration, the Conversion Rate shall be decreased to the Conversion Rate that would then be in effect if such Ex-Dividend Date for such issuance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Section 14.04(b) and Section 14.01(b)(ii)(A) hereof, in determining whether any rights, options or warrants entitle the holders of the Common Stock to subscribe for or purchase shares of the Common Stock at a price per share that is less than such average of the Last Reported Sale Prices for the 10 consecutive Trading Day period ending on, and including, the Trading Day immediately preceding the date of announcement of such issuance, and in determining the aggregate offering price of such shares of the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distributes shares of its Capital Stock, evidences of its indebtedness, other assets or property of the Company or rights, options or warrants to acquire its Capital Stock or other securities (any of such shares of Capital Stock, evidences of indebtedness, other assets or property or rights, options or warrants to acquire Capital Stock or other securities, the “</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to all or substantially all holders of the Common Stock, excluding: (i) dividends, distributions or issuances as to which an adjustment was effected (or would be effected, disregarding the 1% Deferral Provision) pursuant to Section 14.04(a) hereof or Section 14.04(b) hereof; (ii) dividends or distributions paid exclusively in cash as to which the provisions set forth in Section 14.04(d) hereof shall apply; and (iii) Spin-Offs as to which the provisions set forth below in this Section 14.04(c) hereof shall apply, then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382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4095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440"/>
        <w:gridCol w:w="155"/>
        <w:gridCol w:w="9230"/>
      </w:tblGrid>
      <w:tr>
        <w:trPr/>
        <w:tc>
          <w:tcPr>
            <w:tcW w:w="440"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55"/>
        <w:gridCol w:w="9640"/>
      </w:tblGrid>
      <w:tr>
        <w:trPr/>
        <w:tc>
          <w:tcPr>
            <w:tcW w:w="410"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both"/>
              <w:rPr/>
            </w:pPr>
            <w:r>
              <w:rPr/>
              <w:t>=</w:t>
            </w:r>
          </w:p>
        </w:tc>
        <w:tc>
          <w:tcPr>
            <w:tcW w:w="9640" w:type="dxa"/>
            <w:tcBorders/>
            <w:vAlign w:val="center"/>
          </w:tcPr>
          <w:p>
            <w:pPr>
              <w:pStyle w:val="TableContents"/>
              <w:bidi w:val="0"/>
              <w:spacing w:before="0" w:after="283"/>
              <w:jc w:val="both"/>
              <w:rPr/>
            </w:pPr>
            <w:r>
              <w:rPr/>
              <w:t>the average of the Last Reported Sale Prices of the Common Stock over the 10 consecutive Trading Day period ending on, and including, the Trading Day immediately preceding the Ex-Dividend Date for such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155"/>
        <w:gridCol w:w="9490"/>
      </w:tblGrid>
      <w:tr>
        <w:trPr/>
        <w:tc>
          <w:tcPr>
            <w:tcW w:w="560" w:type="dxa"/>
            <w:tcBorders/>
            <w:vAlign w:val="center"/>
          </w:tcPr>
          <w:p>
            <w:pPr>
              <w:pStyle w:val="TableContents"/>
              <w:bidi w:val="0"/>
              <w:spacing w:before="0" w:after="283"/>
              <w:jc w:val="left"/>
              <w:rPr/>
            </w:pPr>
            <w:r>
              <w:rPr/>
              <w:t>FMV</w:t>
            </w:r>
          </w:p>
        </w:tc>
        <w:tc>
          <w:tcPr>
            <w:tcW w:w="155" w:type="dxa"/>
            <w:tcBorders/>
            <w:vAlign w:val="center"/>
          </w:tcPr>
          <w:p>
            <w:pPr>
              <w:pStyle w:val="TableContents"/>
              <w:bidi w:val="0"/>
              <w:spacing w:before="0" w:after="283"/>
              <w:jc w:val="left"/>
              <w:rPr/>
            </w:pPr>
            <w:r>
              <w:rPr/>
              <w:t>=</w:t>
            </w:r>
          </w:p>
        </w:tc>
        <w:tc>
          <w:tcPr>
            <w:tcW w:w="9490" w:type="dxa"/>
            <w:tcBorders/>
            <w:vAlign w:val="center"/>
          </w:tcPr>
          <w:p>
            <w:pPr>
              <w:pStyle w:val="TableContents"/>
              <w:bidi w:val="0"/>
              <w:spacing w:before="0" w:after="283"/>
              <w:jc w:val="left"/>
              <w:rPr/>
            </w:pPr>
            <w:r>
              <w:rPr/>
              <w:t>the fair market value (as determined by the Board of Directors) of the Distributed Property with respect to each outstanding share of the Common Stock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the portion of this Section 14.04(c) above will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“SP0” (as defined above), in lieu of the foregoing increase, each Holder of Securities shall receive, in respect of each $1,000 principal amount thereof, at the same time and upon the same terms as holders of the Common Stock, the amount and kind of Distributed Property that such Holder would have received if such Holder owned a number of shares of Common Stock equal to the Conversion Rate in effect on the Ex-Dividend Date for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that are, or, when issued, will be, listed or admitted for trading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38250"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0" cy="3714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before the Close of Business on the last Trading Day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
        <w:gridCol w:w="155"/>
        <w:gridCol w:w="9622"/>
      </w:tblGrid>
      <w:tr>
        <w:trPr/>
        <w:tc>
          <w:tcPr>
            <w:tcW w:w="428"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22" w:type="dxa"/>
            <w:tcBorders/>
            <w:vAlign w:val="center"/>
          </w:tcPr>
          <w:p>
            <w:pPr>
              <w:pStyle w:val="TableContents"/>
              <w:bidi w:val="0"/>
              <w:spacing w:before="0" w:after="283"/>
              <w:jc w:val="left"/>
              <w:rPr/>
            </w:pPr>
            <w:r>
              <w:rPr/>
              <w:t>the Conversion Rate in effect immediately after the Close of Business on the last Trading Day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155"/>
        <w:gridCol w:w="9385"/>
      </w:tblGrid>
      <w:tr>
        <w:trPr/>
        <w:tc>
          <w:tcPr>
            <w:tcW w:w="665" w:type="dxa"/>
            <w:tcBorders/>
            <w:vAlign w:val="center"/>
          </w:tcPr>
          <w:p>
            <w:pPr>
              <w:pStyle w:val="TableContents"/>
              <w:bidi w:val="0"/>
              <w:spacing w:before="0" w:after="283"/>
              <w:jc w:val="left"/>
              <w:rPr/>
            </w:pPr>
            <w:r>
              <w:rPr/>
              <w:t>FMV</w:t>
            </w:r>
            <w:r>
              <w:rPr>
                <w:position w:val="-2"/>
                <w:sz w:val="19"/>
              </w:rPr>
              <w:t>0</w:t>
            </w:r>
          </w:p>
        </w:tc>
        <w:tc>
          <w:tcPr>
            <w:tcW w:w="155" w:type="dxa"/>
            <w:tcBorders/>
            <w:vAlign w:val="center"/>
          </w:tcPr>
          <w:p>
            <w:pPr>
              <w:pStyle w:val="TableContents"/>
              <w:bidi w:val="0"/>
              <w:spacing w:before="0" w:after="283"/>
              <w:jc w:val="both"/>
              <w:rPr/>
            </w:pPr>
            <w:r>
              <w:rPr/>
              <w:t>=</w:t>
            </w:r>
          </w:p>
        </w:tc>
        <w:tc>
          <w:tcPr>
            <w:tcW w:w="9385" w:type="dxa"/>
            <w:tcBorders/>
            <w:vAlign w:val="center"/>
          </w:tcPr>
          <w:p>
            <w:pPr>
              <w:pStyle w:val="TableContents"/>
              <w:bidi w:val="0"/>
              <w:spacing w:before="0" w:after="283"/>
              <w:jc w:val="both"/>
              <w:rPr/>
            </w:pPr>
            <w:r>
              <w:rPr/>
              <w:t>the average of the Last Reported Sale Prices of the Capital Stock or similar equity interest distributed to holders of the Common Stock applicable to one share of the Common Stock (determined by reference to the definitions of Last Reported Sale Price and Trading Day as set forth in Section 1.01 as if references therein to Common Stock were to such Capital Stock or similar equity interest) over the first 10 consecutive Trading Day period from, and including, the Ex-Dividend Date of the Spin-Off (the “</w:t>
            </w:r>
            <w:r>
              <w:rPr>
                <w:b/>
              </w:rPr>
              <w:t>Valuation Period</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9540" w:type="dxa"/>
        <w:jc w:val="left"/>
        <w:tblInd w:w="0" w:type="dxa"/>
        <w:tblLayout w:type="fixed"/>
        <w:tblCellMar>
          <w:top w:w="0" w:type="dxa"/>
          <w:left w:w="0" w:type="dxa"/>
          <w:bottom w:w="0" w:type="dxa"/>
          <w:right w:w="0" w:type="dxa"/>
        </w:tblCellMar>
      </w:tblPr>
      <w:tblGrid>
        <w:gridCol w:w="485"/>
        <w:gridCol w:w="155"/>
        <w:gridCol w:w="8900"/>
      </w:tblGrid>
      <w:tr>
        <w:trPr/>
        <w:tc>
          <w:tcPr>
            <w:tcW w:w="485" w:type="dxa"/>
            <w:tcBorders/>
            <w:vAlign w:val="center"/>
          </w:tcPr>
          <w:p>
            <w:pPr>
              <w:pStyle w:val="TableContents"/>
              <w:bidi w:val="0"/>
              <w:spacing w:before="0" w:after="283"/>
              <w:jc w:val="left"/>
              <w:rPr/>
            </w:pPr>
            <w:r>
              <w:rPr/>
              <w:t>MP</w:t>
            </w:r>
            <w:r>
              <w:rPr>
                <w:position w:val="-2"/>
                <w:sz w:val="19"/>
              </w:rPr>
              <w:t>0</w:t>
            </w:r>
          </w:p>
        </w:tc>
        <w:tc>
          <w:tcPr>
            <w:tcW w:w="155"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pPr>
            <w:r>
              <w:rPr/>
              <w:t>the average of the Last Reported Sale Prices of the Common Stock over the Valuation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the preceding paragraph of this Section 14.04(c) will occur immediately after the Close of Business on the last Trading Day of the Valuation Period;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respect of any conversion of Securities, for any Trading Day that falls within the relevant Observation Period for such conversion and within the Valuation Period, the reference to “10” in the preceding paragraph shall be deemed replaced with such lesser number of Trading Days as have elapsed from, and including, the Ex-Dividend Date for such Spin-Off to, and including, such Trading Day in determining the Conversion Rate as of such Trading Day. In addition, if the Ex-Dividend Date for such Spin-Off is after the 10th Trading Day immediately preceding, and including, the end of any Observation Period in respect of a conversion of Securities, references to “10” or “10th” within this Section 14.04(c) shall be deemed to be replaced, solely in respect of that conversion, with such lesser number of Trading Days as have elapsed from, and including, the Ex-Dividend Date for such Spin-Off to, and including, the last Trading Day of such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14.04(g), for the purposes of this Section 14.04(c),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(a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(1) are deemed to be transferred with such shares of Common Stock; (2) are not exercisable; and (3) are also issued in respect of future issuances of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of such deemed distribution with respect to new rights, options or warrants with such rights (in which case the original rights, options or warrants shall be deemed to terminate and expire on such date without exercise by any of the holders).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this Section 14.04(c) was made, (1) in the case of any such rights, options or warrants which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holders of Common Stock with respect to such rights, options or warrants (assuming each such holder had retained such rights, options or warrants), made to all holders of Common Stock as of the date of such redemption or purchase, and (2) in the case of such rights, options or warrants which shall have expired or been terminated without exercise by any holders thereof, the Conversion Rate shall be readjusted as if such rights, options and warrants had not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14.04(a) hereof, Section 14.04(b) hereof and this Section 14.04(c) hereof, if any dividend or distribution to which this Section 14.04(c) applies includes one or both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dividend or distribution of shares of Common Stock to which Section 14.04(a) hereof also applies (the “</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dividend or distribution of rights, options or warrants to which Section 14.04(b) hereof also applies (the “</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 such dividend or distribution, other than the Clause A Distribution and the Clause B Distribution, shall be deemed to be a dividend or distribution to which this Section 14.04(c) applies (the “</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and any Conversion Rate adjustment required to be made under this Section 14.04(c) with respect to such Clause C Distribution shall be made, (ii) the Clause B Distribution, if any, shall be deemed to immediately follow the Clause C Distribution and any Conversion Rate adjustment required by Section 14.04(a) hereof with respect thereto shall then be made, except that, if determined by the Company, (A) the “Ex-Dividend Date” of the Clause B Distribution, if any, shall be deemed to be the Ex-Dividend Date of the Clause C Distribution and (B) any shares of Common Stock included in the Clause B Distribution shall not be deemed to be “outstanding immediately prior to the Open of Business on such Ex-Dividend Date” within the meaning of Section 14.04(b) hereof, and (iii) the Clause A Distribution, if any, shall be deemed to immediately follow the Clause C Distribution or the Clause B Distribution, as the case may be, except that, if determined by the Company, (A) the “Ex-Dividend Date” of the Clause A Distribution, if any, shall be deemed to be the Ex-Dividend Date of the Clause C Distribution, and (B) any shares of Common Stock included in the Clause A Distribution shall not be deemed to be “outstanding immediately prior to the Open of Business on such Ex-Dividend Date or such Effective Date” within the meaning of Section 14.04(a)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cash dividend or other cash distribution is made to all or substantially all holders of the Common Stock, other than a regular, quarterly cash dividend that does not exceed $0.17 per share (the “</w:t>
      </w:r>
      <w:r>
        <w:rPr>
          <w:rFonts w:ascii="Times New Roman;Times;Serif" w:hAnsi="Times New Roman;Times;Serif"/>
          <w:b/>
          <w:i w:val="false"/>
          <w:caps w:val="false"/>
          <w:smallCaps w:val="false"/>
          <w:sz w:val="20"/>
        </w:rPr>
        <w:t>Initial Dividend Threshold</w:t>
      </w:r>
      <w:r>
        <w:rPr>
          <w:rFonts w:ascii="Times New Roman;Times;Serif" w:hAnsi="Times New Roman;Times;Serif"/>
          <w:b w:val="false"/>
          <w:i w:val="false"/>
          <w:caps w:val="false"/>
          <w:smallCaps w:val="false"/>
          <w:sz w:val="20"/>
        </w:rPr>
        <w:t>”), the Conversion Rate shall be adjusted based on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0500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05000" cy="3905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dividend or other cash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
        <w:gridCol w:w="155"/>
        <w:gridCol w:w="9633"/>
      </w:tblGrid>
      <w:tr>
        <w:trPr/>
        <w:tc>
          <w:tcPr>
            <w:tcW w:w="417"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33" w:type="dxa"/>
            <w:tcBorders/>
            <w:vAlign w:val="center"/>
          </w:tcPr>
          <w:p>
            <w:pPr>
              <w:pStyle w:val="TableContents"/>
              <w:bidi w:val="0"/>
              <w:spacing w:before="0" w:after="283"/>
              <w:jc w:val="left"/>
              <w:rPr/>
            </w:pPr>
            <w:r>
              <w:rPr/>
              <w:t>the Conversion Rate in effect immediately after the Open of Business on the Ex-Dividend Date for such dividend or other cash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55"/>
        <w:gridCol w:w="9640"/>
      </w:tblGrid>
      <w:tr>
        <w:trPr/>
        <w:tc>
          <w:tcPr>
            <w:tcW w:w="410"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both"/>
              <w:rPr/>
            </w:pPr>
            <w:r>
              <w:rPr/>
              <w:t>=</w:t>
            </w:r>
          </w:p>
        </w:tc>
        <w:tc>
          <w:tcPr>
            <w:tcW w:w="9640" w:type="dxa"/>
            <w:tcBorders/>
            <w:vAlign w:val="center"/>
          </w:tcPr>
          <w:p>
            <w:pPr>
              <w:pStyle w:val="TableContents"/>
              <w:bidi w:val="0"/>
              <w:spacing w:before="0" w:after="283"/>
              <w:jc w:val="both"/>
              <w:rPr/>
            </w:pPr>
            <w:r>
              <w:rPr/>
              <w:t>the Last Reported Sale Price of the Common Stock on the Trading Day immediately preceding the Ex-Dividend Date for such dividend or other cash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55"/>
        <w:gridCol w:w="9850"/>
      </w:tblGrid>
      <w:tr>
        <w:trPr/>
        <w:tc>
          <w:tcPr>
            <w:tcW w:w="200" w:type="dxa"/>
            <w:tcBorders/>
            <w:vAlign w:val="center"/>
          </w:tcPr>
          <w:p>
            <w:pPr>
              <w:pStyle w:val="TableContents"/>
              <w:bidi w:val="0"/>
              <w:spacing w:before="0" w:after="283"/>
              <w:jc w:val="left"/>
              <w:rPr/>
            </w:pPr>
            <w:r>
              <w:rPr/>
              <w:t>C</w:t>
            </w:r>
          </w:p>
        </w:tc>
        <w:tc>
          <w:tcPr>
            <w:tcW w:w="155"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left"/>
              <w:rPr/>
            </w:pPr>
            <w:r>
              <w:rPr/>
              <w:t xml:space="preserve">the amount in cash per share the Company distributes to all or substantially all holders of the Common Stock; </w:t>
            </w:r>
            <w:r>
              <w:rPr>
                <w:i/>
              </w:rPr>
              <w:t>provided</w:t>
            </w:r>
            <w:r>
              <w:rPr/>
              <w:t xml:space="preserve"> that, in the case of a regular quarterly cash dividend, such amount shall only include the amount of such dividend or other cash distribution in excess of the Initial Dividend Threshold.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Dividend Threshold is subject to adjustment in a manner inversely proportional to adjustments to the Conversion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 will be made to the Initial Dividend Threshold for any adjustment to the Conversion Rate under this Section 14.04(d).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this Section 14.04(d) shall become effective immediately after the Open of Business on the Ex-Dividend Date for such dividend or other cash distribution. If such dividend or other cash distribution is not so paid, the Conversion Rate shall be decreased, effective as of the date the Board of Directors determines not to make or pay such dividend or other cash distribution, to be the Conversion Rate that would then be in effect if such dividend or other cash distribution had not been declared. Notwithstanding the foregoing, if “C”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shall receive, for each $1,000 principal amount of Securities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other cash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905000"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05000" cy="428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Close of Business on the 10th Trading Day immediately following,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8"/>
        <w:gridCol w:w="155"/>
        <w:gridCol w:w="9652"/>
      </w:tblGrid>
      <w:tr>
        <w:trPr/>
        <w:tc>
          <w:tcPr>
            <w:tcW w:w="398"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52" w:type="dxa"/>
            <w:tcBorders/>
            <w:vAlign w:val="center"/>
          </w:tcPr>
          <w:p>
            <w:pPr>
              <w:pStyle w:val="TableContents"/>
              <w:bidi w:val="0"/>
              <w:spacing w:before="0" w:after="283"/>
              <w:jc w:val="left"/>
              <w:rPr/>
            </w:pPr>
            <w:r>
              <w:rPr/>
              <w:t>the Conversion Rate in effect immediately after the Close of Business on the 10th Trading Day immediately following,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55"/>
        <w:gridCol w:w="9670"/>
      </w:tblGrid>
      <w:tr>
        <w:trPr/>
        <w:tc>
          <w:tcPr>
            <w:tcW w:w="380" w:type="dxa"/>
            <w:tcBorders/>
            <w:vAlign w:val="center"/>
          </w:tcPr>
          <w:p>
            <w:pPr>
              <w:pStyle w:val="TableContents"/>
              <w:bidi w:val="0"/>
              <w:spacing w:before="0" w:after="283"/>
              <w:jc w:val="left"/>
              <w:rPr/>
            </w:pPr>
            <w:r>
              <w:rPr/>
              <w:t>AC</w:t>
            </w:r>
          </w:p>
        </w:tc>
        <w:tc>
          <w:tcPr>
            <w:tcW w:w="155"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left"/>
              <w:rPr/>
            </w:pPr>
            <w:r>
              <w:rPr/>
              <w:t>the aggregate value of all cash and any other consideration (as determined by the Board of Directors) paid or payable for shares of Common Stock purchased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9595" w:type="dxa"/>
            <w:tcBorders/>
            <w:vAlign w:val="center"/>
          </w:tcPr>
          <w:p>
            <w:pPr>
              <w:pStyle w:val="TableContents"/>
              <w:bidi w:val="0"/>
              <w:spacing w:before="0" w:after="283"/>
              <w:jc w:val="both"/>
              <w:rPr/>
            </w:pPr>
            <w:r>
              <w:rPr/>
              <w:t>the number of shares of Common Stock outstanding immediately prior to the date such tender or exchange offer expires (including all shares of Common Stock accepted for purchase or exchange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55"/>
        <w:gridCol w:w="9670"/>
      </w:tblGrid>
      <w:tr>
        <w:trPr/>
        <w:tc>
          <w:tcPr>
            <w:tcW w:w="380" w:type="dxa"/>
            <w:tcBorders/>
            <w:vAlign w:val="center"/>
          </w:tcPr>
          <w:p>
            <w:pPr>
              <w:pStyle w:val="TableContents"/>
              <w:bidi w:val="0"/>
              <w:spacing w:before="0" w:after="283"/>
              <w:jc w:val="left"/>
              <w:rPr/>
            </w:pPr>
            <w:r>
              <w:rPr/>
              <w:t>OS’</w:t>
            </w:r>
          </w:p>
        </w:tc>
        <w:tc>
          <w:tcPr>
            <w:tcW w:w="155"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left"/>
              <w:rPr/>
            </w:pPr>
            <w:r>
              <w:rPr/>
              <w:t>the number of shares of Common Stock outstanding immediately after the date such tender or exchange offer expires (excluding all shares of Common Stock accepted for purchase or exchange in such tender or exchange offer);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
        <w:gridCol w:w="155"/>
        <w:gridCol w:w="9714"/>
      </w:tblGrid>
      <w:tr>
        <w:trPr/>
        <w:tc>
          <w:tcPr>
            <w:tcW w:w="336" w:type="dxa"/>
            <w:tcBorders/>
            <w:vAlign w:val="center"/>
          </w:tcPr>
          <w:p>
            <w:pPr>
              <w:pStyle w:val="TableContents"/>
              <w:bidi w:val="0"/>
              <w:spacing w:before="0" w:after="283"/>
              <w:jc w:val="left"/>
              <w:rPr/>
            </w:pPr>
            <w:r>
              <w:rPr/>
              <w:t>SP’</w:t>
            </w:r>
          </w:p>
        </w:tc>
        <w:tc>
          <w:tcPr>
            <w:tcW w:w="155" w:type="dxa"/>
            <w:tcBorders/>
            <w:vAlign w:val="center"/>
          </w:tcPr>
          <w:p>
            <w:pPr>
              <w:pStyle w:val="TableContents"/>
              <w:bidi w:val="0"/>
              <w:spacing w:before="0" w:after="283"/>
              <w:jc w:val="left"/>
              <w:rPr/>
            </w:pPr>
            <w:r>
              <w:rPr/>
              <w:t>=</w:t>
            </w:r>
          </w:p>
        </w:tc>
        <w:tc>
          <w:tcPr>
            <w:tcW w:w="9714" w:type="dxa"/>
            <w:tcBorders/>
            <w:vAlign w:val="center"/>
          </w:tcPr>
          <w:p>
            <w:pPr>
              <w:pStyle w:val="TableContents"/>
              <w:bidi w:val="0"/>
              <w:spacing w:before="0" w:after="283"/>
              <w:jc w:val="left"/>
              <w:rPr/>
            </w:pPr>
            <w:r>
              <w:rPr/>
              <w:t>the average of the Last Reported Sale Prices of the Common Stock over the 10 consecutive Trading Day period commencing on,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the preceding paragraph of this Section 14.04(e) will occur immediately after the Close of Business on the 10th Trading Day immediately following, and including, the Trading Day next succeeding the date such tender or exchange offer expires;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respect of any conversion of Securities, for any Trading Day that falls within the relevant Observation Period for such conversion and within the 10 Trading Days immediately following, and including, the Trading Day next succeeding the expiration date of any tender or exchange offer, references to “10” or “10th” in this Section 14.04(e) shall be deemed replaced with such lesser number of Trading Days as have elapsed from, and including, the Trading Day next succeeding such expiration date of such tender or exchange offer to, and including, such Trading Day in determining the Conversion Rate as of such Trading Day. In addition, if the Trading Day next succeeding the date such tender or exchange offer expires is after the 10th Trading Day immediately preceding, and including, the end of any Observation Period in respect of a conversion of Securities, references to “10 Trading Days” or “10th” within this Section 14.04(e) shall be deemed to be replaced, solely in respect of that conversion, with such lesser number of Trading Days as have elapsed from, and including, the Trading Day next succeeding the date such tender or exchange offer expires to, and including, the last Trading Day of such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Special Settlement Provisions</w:t>
      </w:r>
      <w:r>
        <w:rPr>
          <w:rFonts w:ascii="Times New Roman;Times;Serif" w:hAnsi="Times New Roman;Times;Serif"/>
          <w:b w:val="false"/>
          <w:i w:val="false"/>
          <w:caps w:val="false"/>
          <w:smallCaps w:val="false"/>
          <w:sz w:val="20"/>
        </w:rPr>
        <w:t>. Notwithstanding anything to the contrary herein, if a Conversion Rate adjustment becomes effective on any Ex-Dividend Date as described above, and a Holder that has converted its Securities on or after such Ex-Dividend Date and on or prior to the related Regular Record Date would be treated as the record holder of shares of Common Stock as of the related Conversion Date in accordance with the provisions of the last paragraph of Section 14.02(b) based on an adjusted Conversion Rate for such Ex-Dividend Date, then, notwithstanding the foregoing Conversion Rate adjustment provisions, the Conversion Rate adjustment relating to such Ex-Dividend Date will not be made for such converting Holder. Instead, such Holder will be treated as if such Holder were the record owner of the shares of Common Stock on an unadjusted basis and participate in the related dividend, distribution or other event giving rise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Adjustments Not Yet Effective</w:t>
      </w:r>
      <w:r>
        <w:rPr>
          <w:rFonts w:ascii="Times New Roman;Times;Serif" w:hAnsi="Times New Roman;Times;Serif"/>
          <w:b w:val="false"/>
          <w:i w:val="false"/>
          <w:caps w:val="false"/>
          <w:smallCaps w:val="false"/>
          <w:sz w:val="20"/>
        </w:rPr>
        <w:t>. Notwithstanding anything to the contrary in this Indenture or the Securities, if (i) a Security is to be converted pursuant to Combination Settlement; (ii) the Record Date or Effective Date for any event that requires an adjustment to the Conversion Rate pursuant to this Section 14.04 has occurred on or before any Trading Day in the Observation Period for such conversion, but an adjustment to the Conversion Rate for such event has not yet become effective as of such Trading Day; (iii) the consideration due in respect of such Trading Day includes any whole or fractional shares of Common Stock; and (iv) such shares are not entitled to participate in such event (because they were not held on the related Record Date or otherwise), then, solely for purposes of such conversion, the Company shall, without duplication, give effect to such adjustment on such Trading Day. In such case, if the date the Company is otherwise required to deliver the consideration due upon such conversion is before the first date on which the amount of such adjustment can be determined, then the Company shall delay the settlement of such conversion until the second Business Day after such first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Poison Pill</w:t>
      </w:r>
      <w:r>
        <w:rPr>
          <w:rFonts w:ascii="Times New Roman;Times;Serif" w:hAnsi="Times New Roman;Times;Serif"/>
          <w:b w:val="false"/>
          <w:i w:val="false"/>
          <w:caps w:val="false"/>
          <w:smallCaps w:val="false"/>
          <w:sz w:val="20"/>
        </w:rPr>
        <w:t>. To the extent that the Company has a rights plan in effect upon conversion of a Security into Common Stock, the Holder converting such Security will receive, in addition to any shares of Common Stock otherwise received in connection with such conversion, the rights under the rights plan. However, if, prior to any conversion, the rights have separated from the shares of Common Stock in accordance with the provisions of the applicable rights plan, the Conversion Rate will be adjusted at the time of separation as if the Company distributed to all or substantially all holders of the Common Stock, Distributed Property as described in Section 14.04(c) hereof, subject to readjustment in the event of the expiration, termination or redemption of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Deferral of Adjustments</w:t>
      </w:r>
      <w:r>
        <w:rPr>
          <w:rFonts w:ascii="Times New Roman;Times;Serif" w:hAnsi="Times New Roman;Times;Serif"/>
          <w:b w:val="false"/>
          <w:i w:val="false"/>
          <w:caps w:val="false"/>
          <w:smallCaps w:val="false"/>
          <w:sz w:val="20"/>
        </w:rPr>
        <w:t>. If an adjustment to the Conversion Rate otherwise required by this Section 14.04 would result in a change of less than 1% to the Conversion Rate, then, notwithstanding anything to the contrary herein,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any Trading Day of an Observation Period for, any Security; (iii) the date a Fundamental Change or Make-Whole Fundamental Change occurs; and (iv) April 1, 2029. The provision described in this paragraph is referred to as the “</w:t>
      </w:r>
      <w:r>
        <w:rPr>
          <w:rFonts w:ascii="Times New Roman;Times;Serif" w:hAnsi="Times New Roman;Times;Serif"/>
          <w:b/>
          <w:i w:val="false"/>
          <w:caps w:val="false"/>
          <w:smallCaps w:val="false"/>
          <w:sz w:val="20"/>
        </w:rPr>
        <w:t>1% Deferral Provision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Limitation on Adjustments</w:t>
      </w:r>
      <w:r>
        <w:rPr>
          <w:rFonts w:ascii="Times New Roman;Times;Serif" w:hAnsi="Times New Roman;Times;Serif"/>
          <w:b w:val="false"/>
          <w:i w:val="false"/>
          <w:caps w:val="false"/>
          <w:smallCaps w:val="false"/>
          <w:sz w:val="20"/>
        </w:rPr>
        <w:t>. Except as stated in this Section 14.04, the Company will not adjust the Conversion Rate for the issuance of shares of Common Stock or any securities convertible into or exchangeable for shares of Common Stock or the right to purchase shares of the Common Stock or such convertible or exchangeable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anything to the contrary herein, the Conversion Rate will not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any shares of Common Stock or options or rights to purchase those shares pursuant to any present or future employee, director or consultant benefit plan or program of or assumed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issuance of any shares of Common Stock pursuant to any option, warrant, right or exercisable, exchangeable or convertible security not described in the preceding clause (ii) and outstanding as of the date the Securities were first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issuance of any shares of Common Stock at a price below the Conversion Price or otherwise, other than any such issuance described in Section 14.04(a), (b) or (c)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a third-party tender offer by any party other than a tender offer by one or more of the Company’s subsidiaries as described in Section 14.04(e);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upon the repurchase of any shares of the Common Stock pursuant to an open market share repurchase program or other buy-back transaction, including structured or derivative transactions, that is not a tender offer or exchange offer of the kind described in Section 14.04(e);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solely for a change in the par value of the Common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for accrued and unpaid interest on the Securities,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For purposes of this Section 14.04, the number of shares of Common Stock at any time outstanding shall not include shares held in the treasury of the Company so long as the Company does not pay any dividend or make any distribution on shares of Common Stock held in the treasury of the Company, but shall include shares issuable in respect of scrip certificates issued in lieu of fractions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Withholding on Adjustments</w:t>
      </w:r>
      <w:r>
        <w:rPr>
          <w:rFonts w:ascii="Times New Roman;Times;Serif" w:hAnsi="Times New Roman;Times;Serif"/>
          <w:b w:val="false"/>
          <w:i w:val="false"/>
          <w:caps w:val="false"/>
          <w:smallCaps w:val="false"/>
          <w:sz w:val="20"/>
        </w:rPr>
        <w:t>. If, in connection with any adjustment to the Conversion Rate as set forth in this Section 14.04, a Holder shall be deemed for U.S. federal tax purposes to have received a distribution and the Company reasonably believes it is required to collect withholding tax with respect to any such deemed distribution, the Company may withhold from cash payments of interest in accordance with the provisions of Section 2.03 hereof or from cash and Common Stock, if any, otherwise deliverable to a Holder upon a conversion of Securities in accordance with the provisions of Section 14.03 hereof or repurchase of a Security in accordance with the provisions of Article 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14.05. </w:t>
      </w:r>
      <w:r>
        <w:rPr>
          <w:rFonts w:ascii="Times New Roman;Times;Serif" w:hAnsi="Times New Roman;Times;Serif"/>
          <w:b w:val="false"/>
          <w:i/>
          <w:caps w:val="false"/>
          <w:smallCaps w:val="false"/>
          <w:sz w:val="20"/>
        </w:rPr>
        <w:t>Other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Adjustments of Prices</w:t>
      </w:r>
      <w:r>
        <w:rPr>
          <w:rFonts w:ascii="Times New Roman;Times;Serif" w:hAnsi="Times New Roman;Times;Serif"/>
          <w:b w:val="false"/>
          <w:i w:val="false"/>
          <w:caps w:val="false"/>
          <w:smallCaps w:val="false"/>
          <w:sz w:val="20"/>
        </w:rPr>
        <w:t>. Whenever any provision of this Indenture requires the Company to calculate the Last Reported Sale Prices, the Daily VWAPs, the Daily Conversion Values or the Daily Settlement Amounts over a span of multiple days (including an Observation Period and the Stock Price for purposes of Section 14.06), the Board of Directors will make appropriate adjustments to each to account for any adjustment to the Conversion Rate that becomes effective, or any event requiring an adjustment to the Conversion Rate where the Ex-Dividend Date, Effective Date or the expiration date of the event occurs, at any time during the period when such Last Reported Sale Prices, the Daily VWAPs, the Daily Conversion Values or the Daily Settlement Amounts are to be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Voluntary Adjustments</w:t>
      </w:r>
      <w:r>
        <w:rPr>
          <w:rFonts w:ascii="Times New Roman;Times;Serif" w:hAnsi="Times New Roman;Times;Serif"/>
          <w:b w:val="false"/>
          <w:i w:val="false"/>
          <w:caps w:val="false"/>
          <w:smallCaps w:val="false"/>
          <w:sz w:val="20"/>
        </w:rPr>
        <w:t>. To the extent permitted by the rules of The New York Stock Exchange (or any other securities exchange where the Common Stock (or other applicable security) is listed in accordance with the provisions of this Indenture), the Company is permitted to increase the Conversion Rate of the Securities by any amount for a period of at least 20 Business Days if the Board of Directors determines that such increase would be in the Company’s best interest. The Company may also (but is not required to) increase the Conversion Rate to avoid or diminish income tax to holders of Common Stock or rights to purchase shares of Common Stock in connection with a dividend or other distribution of shares (or rights to acquire shares) or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14.06. </w:t>
      </w:r>
      <w:r>
        <w:rPr>
          <w:rFonts w:ascii="Times New Roman;Times;Serif" w:hAnsi="Times New Roman;Times;Serif"/>
          <w:b w:val="false"/>
          <w:i/>
          <w:caps w:val="false"/>
          <w:smallCaps w:val="false"/>
          <w:sz w:val="20"/>
        </w:rPr>
        <w:t>Adjustment to Conversion Rate Upon Conversion in Connection with a Make-Whole Fundamental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Increase in the Conversion Rate</w:t>
      </w:r>
      <w:r>
        <w:rPr>
          <w:rFonts w:ascii="Times New Roman;Times;Serif" w:hAnsi="Times New Roman;Times;Serif"/>
          <w:b w:val="false"/>
          <w:i w:val="false"/>
          <w:caps w:val="false"/>
          <w:smallCaps w:val="false"/>
          <w:sz w:val="20"/>
        </w:rPr>
        <w:t>. If the Effective Date of a Make-Whole Fundamental Change occurs prior to the Maturity Date and a Holder elects to convert its Securities in connection with such Make-Whole Fundamental Change, the Company shall, under certain circumstances, increase the Conversion Rate for the Securities so surrendered for conversion by a number of additional shares of Common Stock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xml:space="preserve">”), as described in this Section 14.06. A conversion of Securities shall be deemed for these purposes to be “in connection with” such Make-Whole Fundamental Change if the relevant Conversion Notice is received by the Conversion Agent during the period from, and including, the Effective Date of the Make-Whole Fundamental Change up to, and including, the Close of Business on the Business Day immediately prior to the related Fundamental Change Repurchase Date (or, in the case of an Exempted Fundamental Change or, in the case of a Make-Whole Fundamental Change that would have been a Fundamental Change but for the </w:t>
      </w:r>
      <w:r>
        <w:rPr>
          <w:rFonts w:ascii="Times New Roman;Times;Serif" w:hAnsi="Times New Roman;Times;Serif"/>
          <w:b w:val="false"/>
          <w:i/>
          <w:caps w:val="false"/>
          <w:smallCaps w:val="false"/>
          <w:sz w:val="20"/>
        </w:rPr>
        <w:t xml:space="preserve">proviso </w:t>
      </w:r>
      <w:r>
        <w:rPr>
          <w:rFonts w:ascii="Times New Roman;Times;Serif" w:hAnsi="Times New Roman;Times;Serif"/>
          <w:b w:val="false"/>
          <w:i w:val="false"/>
          <w:caps w:val="false"/>
          <w:smallCaps w:val="false"/>
          <w:sz w:val="20"/>
        </w:rPr>
        <w:t>in clause (b) of the definition thereof, the Close of Business on the 35th Trading Day immediately following the Effective Date of such Make-Whole Fundamental Change) (such period, the “</w:t>
      </w:r>
      <w:r>
        <w:rPr>
          <w:rFonts w:ascii="Times New Roman;Times;Serif" w:hAnsi="Times New Roman;Times;Serif"/>
          <w:b/>
          <w:i w:val="false"/>
          <w:caps w:val="false"/>
          <w:smallCaps w:val="false"/>
          <w:sz w:val="20"/>
        </w:rPr>
        <w:t>Make-Whole Fundamental Change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Cash Mergers</w:t>
      </w:r>
      <w:r>
        <w:rPr>
          <w:rFonts w:ascii="Times New Roman;Times;Serif" w:hAnsi="Times New Roman;Times;Serif"/>
          <w:b w:val="false"/>
          <w:i w:val="false"/>
          <w:caps w:val="false"/>
          <w:smallCaps w:val="false"/>
          <w:sz w:val="20"/>
        </w:rPr>
        <w:t xml:space="preserve">. Upon surrender of Securities for conversion in connection with a Make-Whole Fundamental Change, the Company shall pay, or pay and deliver, as the case may be, the consideration due in respect of such converted Securities pursuant to Section 14.03. However, if the consideration paid for the Common Stock in any Make-Whole Fundamental Change described in clause (b) of the definition of Fundamental Change is composed entirely of cash, then, for any conversion of Securities following the Effective Date of such Make-Whole Fundamental Change, the payment and delivery obligations upon the conversion of a Security shall be calculated based solely on the Stock Price for such Make-Whole Fundamental Change and shall be deemed to be an amount of cash, per $1,000 principal amount of Securities converted, equal to the product of (i) the Conversion Rate in effect on the applicable Conversion Date (as increased by any number of Additional Shares required by this Section 14.06) </w:t>
      </w:r>
      <w:r>
        <w:rPr>
          <w:rFonts w:ascii="Times New Roman;Times;Serif" w:hAnsi="Times New Roman;Times;Serif"/>
          <w:b w:val="false"/>
          <w:i/>
          <w:caps w:val="false"/>
          <w:smallCaps w:val="false"/>
          <w:sz w:val="20"/>
        </w:rPr>
        <w:t>multiplied</w:t>
      </w:r>
      <w:r>
        <w:rPr>
          <w:rFonts w:ascii="Times New Roman;Times;Serif" w:hAnsi="Times New Roman;Times;Serif"/>
          <w:b w:val="false"/>
          <w:i w:val="false"/>
          <w:caps w:val="false"/>
          <w:smallCaps w:val="false"/>
          <w:sz w:val="20"/>
        </w:rPr>
        <w:t xml:space="preserve"> by (ii) such Stock Price. In such event, the Company will determine the settlement amount and pay such amount of cash to a converting Holder on the second Business Day following the applicable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Determining the Number of Additional Shares</w:t>
      </w:r>
      <w:r>
        <w:rPr>
          <w:rFonts w:ascii="Times New Roman;Times;Serif" w:hAnsi="Times New Roman;Times;Serif"/>
          <w:b w:val="false"/>
          <w:i w:val="false"/>
          <w:caps w:val="false"/>
          <w:smallCaps w:val="false"/>
          <w:sz w:val="20"/>
        </w:rPr>
        <w:t xml:space="preserve">. The number of Additional Shares, if any, by which the Conversion Rate will be increased for a Holder that converts its Securities in connection with a Make-Whole Fundamental Change shall be determined by reference to the table attached as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based on the Effective Date the Make-Whole Fundamental Change and the price (the “</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paid (or deemed to be paid) per share of the Common Stock in the Make-Whole Fundamental Change.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Effective Date of the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Interpolation and Limits</w:t>
      </w:r>
      <w:r>
        <w:rPr>
          <w:rFonts w:ascii="Times New Roman;Times;Serif" w:hAnsi="Times New Roman;Times;Serif"/>
          <w:b w:val="false"/>
          <w:i w:val="false"/>
          <w:caps w:val="false"/>
          <w:smallCaps w:val="false"/>
          <w:sz w:val="20"/>
        </w:rPr>
        <w:t xml:space="preserve">. The exact Stock Prices and Effective Dates may not be set forth in the table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in which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Stock Price is between two Stock Prices expressed in the table or the Effective Date is between two Effective Dates in the table, the number of Additional Shares by which the Conversion Rate shall be increased will be determined by a straight-line interpolation between the number of Additional Shares set forth for the higher and lower Stock Prices and the earlier and later Effective Dates, as applicable, based on a 365-day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Stock Price is greater than $7.60 per share (subject to adjustment in the same manner as the Stock Prices set forth in the column headings of the table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pursuant to Section 14.06(d)(iv) hereof), the Conversion Rate shall not be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Stock Price is less than $5.42 per share (subject to adjustment in the same manner as the Stock Prices set forth in the column headings of the table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pursuant to Section 14.06(d)(iv) hereof), the Conversion Rate shall not be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will the Conversion Rate per $1,000 principal amount of Securities exceed 184.5018 shares of Common Stock, subject to adjustment in the same manner as the Conversion Rate as set forth in Section 14.04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Stock Prices set forth in the column headings of the table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shall be adjusted as of any date on which the Conversion Rate of the Securities is otherwise adjusted. The adjusted Stock Prices shall equal the Stock Prices applicable immediately prior to such adjustment, multiplied by a fraction, the numerator of which is the Conversion Rate immediately prior to such adjustment giving rise to the Stock Price adjustment and the denominator of which is the Conversion Rate as so adjusted. The number of Additional Shares set forth in such table shall be adjusted in the same manner and at the same time as the Conversion Rate is adjusted as set forth in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The Company shall notify the Holders, the Trustee and the Conversion Agent (if other than the Trustee) of the Effective Date of any Make-Whole Fundamental Change and issue a press release announcing such Effective Date no later than five Business Days after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14.07. </w:t>
      </w:r>
      <w:r>
        <w:rPr>
          <w:rFonts w:ascii="Times New Roman;Times;Serif" w:hAnsi="Times New Roman;Times;Serif"/>
          <w:b w:val="false"/>
          <w:i/>
          <w:caps w:val="false"/>
          <w:smallCaps w:val="false"/>
          <w:sz w:val="20"/>
        </w:rPr>
        <w:t>Effect of Recapitalizations, Reclassifications and Changes of the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Common Stock Change Events</w:t>
      </w:r>
      <w:r>
        <w:rPr>
          <w:rFonts w:ascii="Times New Roman;Times;Serif" w:hAnsi="Times New Roman;Times;Serif"/>
          <w:b w:val="false"/>
          <w:i w:val="false"/>
          <w:caps w:val="false"/>
          <w:smallCaps w:val="false"/>
          <w:sz w:val="20"/>
        </w:rPr>
        <w:t>. In the case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recapitalization, reclassification or change of the Common Stock (other than a change to the par value, or from par value to no par value, or changes resulting from a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consolidation, merger or combination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lease or other transfer to a third party of the consolidated assets of the Company and its Subsidiaries substantially as an entirety;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statutory share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the Common Stock would be converted into, or exchanged for, other stock, securities, other property or assets (including cash or any combination thereof) (any such event, a “</w:t>
      </w:r>
      <w:r>
        <w:rPr>
          <w:rFonts w:ascii="Times New Roman;Times;Serif" w:hAnsi="Times New Roman;Times;Serif"/>
          <w:b/>
          <w:i w:val="false"/>
          <w:caps w:val="false"/>
          <w:smallCaps w:val="false"/>
          <w:sz w:val="20"/>
        </w:rPr>
        <w:t>Common Stock Change Event</w:t>
      </w:r>
      <w:r>
        <w:rPr>
          <w:rFonts w:ascii="Times New Roman;Times;Serif" w:hAnsi="Times New Roman;Times;Serif"/>
          <w:b w:val="false"/>
          <w:i w:val="false"/>
          <w:caps w:val="false"/>
          <w:smallCaps w:val="false"/>
          <w:sz w:val="20"/>
        </w:rPr>
        <w:t>,” and such other stock, securities, property, assets or cash,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and the amount and kind of Reference Property that a holder of one share of Common Stock would be entitled to receive on account of such Common Stock Change Event (without giving effect to any arrangement not to issue or deliver a fractional portion of any security or other property), a “</w:t>
      </w:r>
      <w:r>
        <w:rPr>
          <w:rFonts w:ascii="Times New Roman;Times;Serif" w:hAnsi="Times New Roman;Times;Serif"/>
          <w:b/>
          <w:i w:val="false"/>
          <w:caps w:val="false"/>
          <w:smallCaps w:val="false"/>
          <w:sz w:val="20"/>
        </w:rPr>
        <w:t>Reference Property Unit</w:t>
      </w:r>
      <w:r>
        <w:rPr>
          <w:rFonts w:ascii="Times New Roman;Times;Serif" w:hAnsi="Times New Roman;Times;Serif"/>
          <w:b w:val="false"/>
          <w:i w:val="false"/>
          <w:caps w:val="false"/>
          <w:smallCaps w:val="false"/>
          <w:sz w:val="20"/>
        </w:rPr>
        <w:t>”), then, at and after the effective time of such Common Stock Change Event, (i) the consideration due upon conversion of any Security, and the conditions to any such conversion, will be determined in the same manner as if each reference to any number of shares of the Common Stock in this Article 14 (or in any related definitions) were instead a reference to the same number of Reference Property Units; (ii) for purposes of the definitions of “Fundamental Change” and “Make-Whole Fundamental Change,” references to the Company’s “Common Stock” and “Common Equity” will be deemed to refer to the Common Equity (including depositary receipts representing Common Equity), if any, forming part of such Reference Property; and (iii) the Last Reported Sale Price and Daily VWAP will be calculated based on the value of a Reference Property Unit. Prior to or at the effective time of such Common Stock Change Event, the Company or the successor or purchasing Person, as the case may be, shall execute with the Trustee a supplemental indenture permitted under Section 10.01(g) providing that the Securities will be convertible as described in this Section 14.07.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Common Stock Change Event causes the Common Stock to be converted into, or exchanged for, the right to receive more than a single type of consideration (determined based in part upon any form of stockholder election), then (i) the Reference Property into which the Securities will be convertible shall be deemed to be the weighted average of the types and amounts of consideration actually received by the holders of the Common Stock and, (ii) the Reference Property Unit for purposes of the immediately preceding paragraph shall refer to the consideration referred to in clause (i) attributable to one share of Common Stock. The Company shall notify Holders, the Trustee and the Conversion Agent (if other than the Trustee) of such weighted average as soon as practicable after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holders of the Common Stock receive only cash in such Common Stock Change Event, then for all conversions for which the relevant Conversion Date occurs after the effective date of such Common Stock Change Event, (i) the consideration due upon conversion of each $1,000 principal amount of Securities shall be solely cash in an amount equal to the Conversion Rate in effect on the Conversion Date (as may be increased by any Additional Shares pursuant to Section 14.06), multiplied by the price paid per share of the Common Stock in such Common Stock Change Event and (ii) the Company shall satisfy its conversion obligation by paying cash to converting Holders on the second Business Day immediately following the relevant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become a party to any Common Stock Change Event unless its terms are consistent with this Section 14.07. Such supplemental indenture described in the third immediately preceding paragraph shall provide for anti-dilution and other adjustments that shall be as nearly equivalent as is possible to the adjustments described in this Article 14. If the Reference Property in respect of any such Common Stock Change Event includes shares of stock, securities or other property or assets (other than cash or cash equivalents) of a Person other than the Company or the successor or purchasing corporation, as the case may be, in such Common Stock Change Event, then such other Person shall also execute such supplemental indenture, and such supplemental indenture shall contain such additional provisions to protect the interests of the Holders, including the right of Holders to require the Company to repurchase their Securities upon a Fundamental Change pursuant to Article 15, as the Board of Directors reasonably considers necessary by reason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adjustment to the Conversion Rate described herein, the Company shall also adjust the Initial Dividend Threshold based on the number of shares of Common Stock comprising the Reference Property and (if applicable) the value of any non-stock consideration comprising the Reference Property. If the Reference Property is composed solely of non-stock consideration, the Initial Dividend Threshold shall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Supplemental Indentures</w:t>
      </w:r>
      <w:r>
        <w:rPr>
          <w:rFonts w:ascii="Times New Roman;Times;Serif" w:hAnsi="Times New Roman;Times;Serif"/>
          <w:b w:val="false"/>
          <w:i w:val="false"/>
          <w:caps w:val="false"/>
          <w:smallCaps w:val="false"/>
          <w:sz w:val="20"/>
        </w:rPr>
        <w:t>. 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Reference Property Unit after any such Common Stock 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 The above provisions of this Section 14.07 shall similarly apply to successive Common Stock Change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14.08. </w:t>
      </w:r>
      <w:r>
        <w:rPr>
          <w:rFonts w:ascii="Times New Roman;Times;Serif" w:hAnsi="Times New Roman;Times;Serif"/>
          <w:b w:val="false"/>
          <w:i/>
          <w:caps w:val="false"/>
          <w:smallCaps w:val="false"/>
          <w:sz w:val="20"/>
        </w:rPr>
        <w:t>Stock Issued Upon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Reservation of Shares</w:t>
      </w:r>
      <w:r>
        <w:rPr>
          <w:rFonts w:ascii="Times New Roman;Times;Serif" w:hAnsi="Times New Roman;Times;Serif"/>
          <w:b w:val="false"/>
          <w:i w:val="false"/>
          <w:caps w:val="false"/>
          <w:smallCaps w:val="false"/>
          <w:sz w:val="20"/>
        </w:rPr>
        <w:t>. To the extent necessary to satisfy its obligations under this Indenture, prior to issuing any shares of Common Stock, the Company will reserve out of its authorized but unissued shares of Common Stock a sufficient number of shares of Common Stock to permit the conversion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Certain other Covenants</w:t>
      </w:r>
      <w:r>
        <w:rPr>
          <w:rFonts w:ascii="Times New Roman;Times;Serif" w:hAnsi="Times New Roman;Times;Serif"/>
          <w:b w:val="false"/>
          <w:i w:val="false"/>
          <w:caps w:val="false"/>
          <w:smallCaps w:val="false"/>
          <w:sz w:val="20"/>
        </w:rPr>
        <w:t>. The Company covenants that all shares of Common Stock that may be issued upon conversion of Securities shall be newly issued shares or treasury shares, shall be duly authorized, validly issued, fully paid and non-assessable and shall be free from preemptive rights and free from any tax, lien or charge (other than those created by the Holder or due to a change in registered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list or cause to have quoted any shares of Common Stock to be issued upon conversion of Securities on each national securities exchange or over-the-counter or other domestic market on which the Common Stock is then listed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14.09. </w:t>
      </w:r>
      <w:r>
        <w:rPr>
          <w:rFonts w:ascii="Times New Roman;Times;Serif" w:hAnsi="Times New Roman;Times;Serif"/>
          <w:b w:val="false"/>
          <w:i/>
          <w:caps w:val="false"/>
          <w:smallCaps w:val="false"/>
          <w:sz w:val="20"/>
        </w:rPr>
        <w:t>Responsibility of Trustee</w:t>
      </w:r>
      <w:r>
        <w:rPr>
          <w:rFonts w:ascii="Times New Roman;Times;Serif" w:hAnsi="Times New Roman;Times;Serif"/>
          <w:b w:val="false"/>
          <w:i w:val="false"/>
          <w:caps w:val="false"/>
          <w:smallCaps w:val="false"/>
          <w:sz w:val="20"/>
        </w:rPr>
        <w:t>. The Trustee and any Conversion Agent shall not at any time be under any duty or responsibility to any Holder of Securities to determine or calculate the Conversion Rate, to determine whether any facts exist which may require any adjustment of the Conversion Rate, or to confirm the accuracy of any such adjustment when made or the appropriateness of the method employed, or herein or in any supplemental indenture provided to be employed, in making the same. The Trustee and any other Conversion Agent shall not be accountable with respect to the validity or value (or the kind or amount) of any shares of Common Stock or of any other securities or property that may at any time be issued or delivered upon the conversion of any Securities; and the Trustee and the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Securities for the purpose of conversion or to comply with any of the duties, responsibilities or covenants of the Company contained in this Article 14.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The rights, privileges, protections, immunities and benefits given to the Trustee, including without limitation its right to be compensated, reimbursed, and indemnified, are extended to, and shall be enforceable by, the Trustee in each of its capacities hereunder, including its capacity as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14.10. </w:t>
      </w:r>
      <w:r>
        <w:rPr>
          <w:rFonts w:ascii="Times New Roman;Times;Serif" w:hAnsi="Times New Roman;Times;Serif"/>
          <w:b w:val="false"/>
          <w:i/>
          <w:caps w:val="false"/>
          <w:smallCaps w:val="false"/>
          <w:sz w:val="20"/>
        </w:rPr>
        <w:t>Notice to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to Holders Prior to Certain Actions. The Company shall deliver notices of the events specified below at the times specified below and containing the information specified below unless, in each case, (i) pursuant to this Indenture, the Company is already required to deliver notice of such event containing at least the information specified below at an earlier time or, (ii) the Company, at the time it is required to deliver a notice, does not have knowledge of all of the information required to be included in such notice, in which case, the Company shall (A) deliver notice at such time containing only the information that it has knowledge of at such time (if it has knowledge of any such information at such time), and (B) promptly upon obtaining knowledge of any such information not already included in a notice delivered by the Company, deliver notice to each Holder containing such information. In each case, the failure by the Company to give such notice, or any defect therein, shall not affect the legality or validity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Issuances, Distributions, and Dividends and Distributions. If the Company (A) announces any issuance of any rights, options or warrants that would require an adjustment in the Conversion Rate pursuant to Section 14.04(b) hereof; (B) authorizes any distribution that would require an adjustment in the Conversion Rate pursuant to Section 14.04(c) hereof (including any separation of rights from the Common Stock described in Section 14.04(g) hereof); or (C) announces any dividend or distribution that would require an adjustment in the Conversion Rate pursuant to Section 14.04(d) hereof, then the Company shall deliver to the Holders, as promptly as possible, but in any event at least 15 calendar days prior to the applicable Ex-Dividend Date, notice describing such issuance, distribution, dividend or distribution, as the case may be, and stating the expected Ex-Dividend Date and Record Date for such issuance, distribution, dividend or distribution, as the case may be. In addition, the Company shall deliver to the Holders notice if the consideration included in such issuance, distribution, dividend or distribution, or the Ex-Dividend Date or Record Date of such issuance, distribution, dividend or distribution, as the case may be,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Voluntary Increases. If the Company increases the Conversion Rate pursuant to Section 14.05(b), the Company shall deliver notice to the Holders at least 15 calendar days prior to the date on which such increase will become effective, which notice shall state the date on which such increased will become effective and the amount by which the Conversion Rate will be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Dissolutions, Liquidations and Winding-Ups. If there is a voluntary or involuntary dissolution, liquidation or winding-up of the Company, the Company shall deliver notice to the Holders as promptly as possible, but in any event at least 15 calendar days prior to the earlier of (i) the date on which such dissolution, liquidation or winding-up, as the case may be, is expected to become effective or occur, and (ii) the date as of which it is expected that holders of Common Stock of record shall be entitled to exchange their Common Stock for securities or other property deliverable upon such dissolution, liquidation or winding-up, as the case may be, which notice shall state the expected effective date and Record Date for such event, as applicable, and the amount and kind of property that a holder of one share of the Common Stock is expected to be entitled, or may elect, to receive in such event. The Company shall deliver an additional notice to holders, as promptly as practicable, whenever the expected effective date or Record Date, as applicable, or the amount and kind of property that a holder of one share of the Common Stock is expected to be entitled to receive in such event,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Notices After Certain Actions and Events</w:t>
      </w:r>
      <w:r>
        <w:rPr>
          <w:rFonts w:ascii="Times New Roman;Times;Serif" w:hAnsi="Times New Roman;Times;Serif"/>
          <w:b w:val="false"/>
          <w:i w:val="false"/>
          <w:caps w:val="false"/>
          <w:smallCaps w:val="false"/>
          <w:sz w:val="20"/>
        </w:rPr>
        <w:t>. Whenever an adjustment to the Conversion Rate becomes effective pursuant to Sections 14.04, 14.05 or 14.06 hereof, the Company will (i) file with the Trustee an Officers’ Certificate stating that such adjustment has become effective, the Conversion Rate, and the manner in which the adjustment was computed and (ii) deliver notice to the Holders stating that such adjustment has become effective and the Conversion Rate or conversion privilege as adjusted. Failure to give any such notice, or any defect therein, shall not affect the validity of any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14.11. </w:t>
      </w:r>
      <w:r>
        <w:rPr>
          <w:rFonts w:ascii="Times New Roman;Times;Serif" w:hAnsi="Times New Roman;Times;Serif"/>
          <w:b w:val="false"/>
          <w:i/>
          <w:caps w:val="false"/>
          <w:smallCaps w:val="false"/>
          <w:sz w:val="20"/>
        </w:rPr>
        <w:t>Exchange in Lieu of Conversion</w:t>
      </w:r>
      <w:r>
        <w:rPr>
          <w:rFonts w:ascii="Times New Roman;Times;Serif" w:hAnsi="Times New Roman;Times;Serif"/>
          <w:b w:val="false"/>
          <w:i w:val="false"/>
          <w:caps w:val="false"/>
          <w:smallCaps w:val="false"/>
          <w:sz w:val="20"/>
        </w:rPr>
        <w:t>. When a Holder surrenders its Securities for conversion, the Company may, at its election (an “</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direct the Conversion Agent to surrender, on or prior to the Business Day following the Conversion Date, such Securities to a financial institution designated by the Company for exchange in lieu of conversion. In order to accept any Securities surrendered for conversion, the designated institution must agree to timely deliver, in exchange for such Securities, the Settlement Amount that would otherwise be due upon conversion pursuant to Section 14.03. If the Company makes an Exchange Election, the Company shall, by the Close of Business on the Business Day following the relevant Conversion Date, notify the Holder surrendering its Securities for conversion, the Trustee and the Conversion Agent (if other than the Trustee) that the Company has made the Exchange Election and the Company will notify the designated financial institution of the relevant deadline for delivery of the Settlement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exchanged by the designated institution will remain outstanding, subject to the Applicable Procedures of the Depositary. If the designated institution agrees to accept any Securities for exchange but does not timely deliver the related Settlement Amount, or if such designated financial institution does not accept the Securities for exchange, the Company shall deliver the relevant Settlement Amount as if it had not made an Exchange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15</w:t>
      </w:r>
      <w:r>
        <w:rPr>
          <w:rFonts w:ascii="Times New Roman;Times;Serif" w:hAnsi="Times New Roman;Times;Serif"/>
          <w:b w:val="false"/>
          <w:i w:val="false"/>
          <w:smallCaps/>
          <w:sz w:val="20"/>
        </w:rPr>
        <w:br/>
        <w:t>Repurchase of Securities at Option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15.01. </w:t>
      </w:r>
      <w:r>
        <w:rPr>
          <w:rFonts w:ascii="Times New Roman;Times;Serif" w:hAnsi="Times New Roman;Times;Serif"/>
          <w:b w:val="false"/>
          <w:i/>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15.02. </w:t>
      </w:r>
      <w:r>
        <w:rPr>
          <w:rFonts w:ascii="Times New Roman;Times;Serif" w:hAnsi="Times New Roman;Times;Serif"/>
          <w:b w:val="false"/>
          <w:i/>
          <w:caps w:val="false"/>
          <w:smallCaps w:val="false"/>
          <w:sz w:val="20"/>
        </w:rPr>
        <w:t>Repurchase at Option of Holders Upon a Fundamental Change.</w:t>
      </w:r>
      <w:r>
        <w:rPr>
          <w:rFonts w:ascii="Times New Roman;Times;Serif" w:hAnsi="Times New Roman;Times;Serif"/>
          <w:b w:val="false"/>
          <w:i w:val="false"/>
          <w:caps w:val="false"/>
          <w:smallCaps w:val="false"/>
          <w:sz w:val="20"/>
        </w:rPr>
        <w:t xml:space="preserve"> (a) Subject to the other terms of this Article 15, if a Fundamental Change occurs at any time prior to the Maturity Date, then each Holder shall have the right, at such Holder’s option, to require the Company to repurchase for cash all of such Holder’s Securities, or any portion thereof that is equal to $1,000 or a multiple of $1,000, on a date (the “</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specified by the Company that is not less than 20 or more than 35 calendar days following the date of the Fundamental Change Company Notice, at a purchase price equal to 100% of the principal amount of the Securities to be repurchased,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accrued and unpaid interest thereon, if any, to, but excluding, the Fundamental Change Repurchase Date (the “</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Fundamental Change Repurchase Date falls after a Regular Record Date and on or prior to the Interest Payment Date corresponding to such Regular Record Date, the Company shall instead pay the full amount of accrued and unpaid interest on such Security on the Interest Payment Date to the Holder of record of such Security as of the Close of Business on such Regular Record Date and the Fundamental Change Repurchase Price shall be equal to 100% of the principal amount of the Securities to be purchased pursuant to this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Securities under this Section 15.02 shall be made, at the option of the Holder thereof,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Securities to be purchased are Physical Securities, delivery to the Paying Agent by the Holder of a duly completed notice (the “</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in the form set forth in </w:t>
      </w:r>
      <w:r>
        <w:rPr>
          <w:rFonts w:ascii="Times New Roman;Times;Serif" w:hAnsi="Times New Roman;Times;Serif"/>
          <w:b w:val="false"/>
          <w:i w:val="false"/>
          <w:caps w:val="false"/>
          <w:smallCaps w:val="false"/>
          <w:sz w:val="20"/>
          <w:u w:val="single"/>
        </w:rPr>
        <w:t>Attachment 2</w:t>
      </w:r>
      <w:r>
        <w:rPr>
          <w:rFonts w:ascii="Times New Roman;Times;Serif" w:hAnsi="Times New Roman;Times;Serif"/>
          <w:b w:val="false"/>
          <w:i w:val="false"/>
          <w:caps w:val="false"/>
          <w:smallCaps w:val="false"/>
          <w:sz w:val="20"/>
        </w:rPr>
        <w:t xml:space="preserve"> to the Form of Security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of the Securities, duly endorsed for transfer, on or before the Close of Business on the Business Day immediately preceding the Fundamental Change Repurchase Date (the “</w:t>
      </w:r>
      <w:r>
        <w:rPr>
          <w:rFonts w:ascii="Times New Roman;Times;Serif" w:hAnsi="Times New Roman;Times;Serif"/>
          <w:b/>
          <w:i w:val="false"/>
          <w:caps w:val="false"/>
          <w:smallCaps w:val="false"/>
          <w:sz w:val="20"/>
        </w:rPr>
        <w:t>Fundamental Change Expiration Time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Securities to be purchased are Global Securities, delivery of the Securities, by book-entry transfer, in compliance with the Applicable Procedures of the Depositary and the satisfaction of any other requirements of the Depositary in connection with tendering beneficial interests in a Global Security for purchase, by the Fundamental Change Expiration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Change Repurchase Notice in respect of any Securities to be purchased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certificated, the certificate numbers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portion of the principal amount of such Securities, which must be $1,000 or an integral multiple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that such Securities are to be repurchased by the Company pursuant to the applicable provisions of the Securities and this Indenture;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Notes are Global Notes, the Fundamental Change Repurchase Notice must comply with appropriate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Fundamental Change Expiration Time by delivery of a written notice of withdrawal to the Paying Agent in accordance with Section 15.04.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the Company of the receipt by it of any Fundamental Change Repurchase Notice or written notice of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before the 20th calendar day after the occurrence of a Fundamental Change, the Company shall provide to all Holders of the Securities, the Trustee, the Conversion Agent and the Paying Agent (in the case of any Paying Agent other than the Trustee) a notice (the “</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of the occurrence of such Fundamental Change and of the repurchase right at the option of the Holders arising as a result thereof. Such notice shall be sent by first class mail or, in the case of any Global Securities, in accordance with the Applicable Procedures of the Depositary for providing notices. Simultaneously with providing such Fundamental Change Company Notice, the Company shall publish this information in a newspaper of general circulation in The City of New York or publish the information on the Company’s website or through such other public medium as the Company may use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Fundamental Change Company Notice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events causing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last date on which a Holder of Securities may exercise the repurchase right pursuant to this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applicable, the Conversion Rate and any adjustments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the Securities with respect to which a Fundamental Change Repurchase Notice has been delivered by a Holder may be converted only if the Holder withdraws the Fundamental Change Repurchase Notice in accordance with the terms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procedures that Holders must follow to require the Company to purchase their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Company to give the foregoing notices and no defect therein shall limit the repurchase rights of the Holders of Securities or affect the validity of the proceedings for the purchase of the Securities pursuant to this Section 15.02.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request which shall be provided at least two Business Days before such notice is to be sent (or such shorter time period as shall be acceptable to the Trustee), the Trustee shall give such notice in the Company’s name and at the Company’s expense;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all cases, the text of such Fundamental Change Company Notice shall be prepared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there shall be no purchase of any Securities pursuant to this Section 15.02 if the principal amount of the Securities has been accelerated, and such acceleration has not been rescinded, on or prior to the Fundamental Change Repurchase Date (except in the case of an acceleration resulting from a Default by the Company in the payment of the Fundamental Change Repurchase Price with respect to such Securities). The Paying Agent will promptly return to the respective Holders thereof any Physical Securities held by it during the acceleration of the Securities (except in the case of an acceleration resulting from a Default by the Company in the payment of the Fundamental Change Repurchase Price with respect to such Securities) and shall deem to be cancelled any instructions for book-entry transfer of the Securities in compliance with the Applicable Procedures of the Depositary, in which case, upon such return or cancellation, as the case may be, the Fundamental Change Repurchase Notice with respect thereto shall be deemed to have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appoint a tender agent in connection with any repurchase pursuant to this Article 15, in which case such tender agent shall be the Paying Agent in connection with such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15.03. </w:t>
      </w:r>
      <w:r>
        <w:rPr>
          <w:rFonts w:ascii="Times New Roman;Times;Serif" w:hAnsi="Times New Roman;Times;Serif"/>
          <w:b w:val="false"/>
          <w:i/>
          <w:caps w:val="false"/>
          <w:smallCaps w:val="false"/>
          <w:sz w:val="20"/>
        </w:rPr>
        <w:t>Effect of Fundamental Change Repurchase Notice</w:t>
      </w:r>
      <w:r>
        <w:rPr>
          <w:rFonts w:ascii="Times New Roman;Times;Serif" w:hAnsi="Times New Roman;Times;Serif"/>
          <w:b w:val="false"/>
          <w:i w:val="false"/>
          <w:caps w:val="false"/>
          <w:smallCaps w:val="false"/>
          <w:sz w:val="20"/>
        </w:rPr>
        <w:t>. Upon receipt by the Paying Agent of a Fundamental Change Repurchase Notice specified in Section 15.02, the Holder of the Security in respect of which such Fundamental Change Repurchase Notice was given shall (unless such Fundamental Change Repurchase Notice is withdrawn in accordance with Section 15.04) thereafter be entitled to receive solely the Fundamental Change Repurchase Price in cash with respect to such Security (and any previously accrued and unpaid interest on such Security). Such Fundamental Change Repurchase Price shall be paid to such Holder, subject to receipt of funds by the Paying Agent, on the later of (x) the applicable Fundamental Change Repurchase Date (provided the conditions in Section 15.02 have been satisfied) and (y) the time of delivery or book-entry transfer of such Security to the Paying Agent by the Holder thereof in the manner required by Section 15.02, subject in each case to extensions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15.04. </w:t>
      </w:r>
      <w:r>
        <w:rPr>
          <w:rFonts w:ascii="Times New Roman;Times;Serif" w:hAnsi="Times New Roman;Times;Serif"/>
          <w:b w:val="false"/>
          <w:i/>
          <w:caps w:val="false"/>
          <w:smallCaps w:val="false"/>
          <w:sz w:val="20"/>
        </w:rPr>
        <w:t>Withdrawal of Fundamental Change Repurchase Notice.</w:t>
      </w:r>
      <w:r>
        <w:rPr>
          <w:rFonts w:ascii="Times New Roman;Times;Serif" w:hAnsi="Times New Roman;Times;Serif"/>
          <w:b w:val="false"/>
          <w:i w:val="false"/>
          <w:caps w:val="false"/>
          <w:smallCaps w:val="false"/>
          <w:sz w:val="20"/>
        </w:rPr>
        <w:t xml:space="preserve"> (a) A Fundamental Change Repurchase Notice may be withdrawn (in whole or in part) by means of a written notice of withdrawal delivered to the Paying Agent in accordance with the Fundamental Change Company Notice at any time prior to the Fundamental Change Expiration Time,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the Securities with respect to which such notice of withdrawal is being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Physical Securities have been issued, the certificate numbers of the withdrawn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principal amount, if any, which remains subject to the Fundamental Change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if the Securities are Global Securities, the notice must comply with Applicable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return to the respective Holders thereof any Physical Securities with respect to which a Fundamental Change Repurchase Notice has been withdrawn in compliance with the provisions of this Section 15.04.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15.05. </w:t>
      </w:r>
      <w:r>
        <w:rPr>
          <w:rFonts w:ascii="Times New Roman;Times;Serif" w:hAnsi="Times New Roman;Times;Serif"/>
          <w:b w:val="false"/>
          <w:i/>
          <w:caps w:val="false"/>
          <w:smallCaps w:val="false"/>
          <w:sz w:val="20"/>
        </w:rPr>
        <w:t>Deposit of Fundamental Change Repurchase Price.</w:t>
      </w:r>
      <w:r>
        <w:rPr>
          <w:rFonts w:ascii="Times New Roman;Times;Serif" w:hAnsi="Times New Roman;Times;Serif"/>
          <w:b w:val="false"/>
          <w:i w:val="false"/>
          <w:caps w:val="false"/>
          <w:smallCaps w:val="false"/>
          <w:sz w:val="20"/>
        </w:rPr>
        <w:t xml:space="preserve"> Prior to 10:00 a.m., New York City time, on the Fundamental Change Repurchase Date, the Company shall deposit with the Paying Agent (or, if the Company or a Subsidiary or an Affiliate of either of them is acting as the Paying Agent, shall segregate and hold in trust as provided herein) an amount of money (in immediately available funds if deposited on such Business Day) sufficient to pay the Fundamental Change Repurchase Price of all the Securities or portions thereof that are to be purchased as of the Fundamental Change Repurchase Date. If the Paying Agent holds cash sufficient to pay the Fundamental Change Repurchase Price of the Securities for which a Fundamental Change Repurchase Notice has been tendered and not withdrawn in accordance with this Indenture on the Fundamental Change Repurchase Date, then as of such Fundamental Change Repurchase Date, (a) such Securities will cease to be Outstanding and interest will cease to accrue thereon (whether or not book-entry transfer of such Securities is made or such Securities have been delivered to the Paying Agent) and (b) all other rights of the Holders in respect thereof will terminate (other than the right to receive the Fundamental Change Repurchase Price and, if the Fundamental Change Repurchase Date falls after a Regular Record Date but on or prior to the Business Day immediately following the corresponding Interest Payment Date, the right of the Holder of record on such Regular Record Date to receive the related interest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15.06. </w:t>
      </w:r>
      <w:r>
        <w:rPr>
          <w:rFonts w:ascii="Times New Roman;Times;Serif" w:hAnsi="Times New Roman;Times;Serif"/>
          <w:b w:val="false"/>
          <w:i/>
          <w:caps w:val="false"/>
          <w:smallCaps w:val="false"/>
          <w:sz w:val="20"/>
        </w:rPr>
        <w:t>Securities Purchased in Whole or in Part</w:t>
      </w:r>
      <w:r>
        <w:rPr>
          <w:rFonts w:ascii="Times New Roman;Times;Serif" w:hAnsi="Times New Roman;Times;Serif"/>
          <w:b w:val="false"/>
          <w:i w:val="false"/>
          <w:caps w:val="false"/>
          <w:smallCaps w:val="false"/>
          <w:sz w:val="20"/>
        </w:rPr>
        <w:t>. Any Security that is to be purchased, whether in whole or in part, shall be surrendered at the office of the Paying Agent (with, if the Company or the Trustee so requires in the case of Physical Securities,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portion of the principal amount of the Security so surrendered that is not purchased. Any Holder whose Securities are purchased pursuant to this Article 15 shall receive payment of the Fundamental Change Repurchase Price on the later of (a) the Fundamental Change Repurchase Date or (b) the time of book-entry transfer or the delivery of the Securities so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15.07. </w:t>
      </w:r>
      <w:r>
        <w:rPr>
          <w:rFonts w:ascii="Times New Roman;Times;Serif" w:hAnsi="Times New Roman;Times;Serif"/>
          <w:b w:val="false"/>
          <w:i/>
          <w:caps w:val="false"/>
          <w:smallCaps w:val="false"/>
          <w:sz w:val="20"/>
        </w:rPr>
        <w:t>Covenant To Comply with Applicable Laws upon Purchase of Securities</w:t>
      </w:r>
      <w:r>
        <w:rPr>
          <w:rFonts w:ascii="Times New Roman;Times;Serif" w:hAnsi="Times New Roman;Times;Serif"/>
          <w:b w:val="false"/>
          <w:i w:val="false"/>
          <w:caps w:val="false"/>
          <w:smallCaps w:val="false"/>
          <w:sz w:val="20"/>
        </w:rPr>
        <w:t>. In connection with any offer to purchase Securities under Section 15.02, the Company shall, in each case if required by law, (a) comply with Rule 13e-4, Rule 14e-1 and any other tender offer rules under the Exchange Act that may then be applicable, (b) file a Schedule TO or any other required schedule under the Exchange Act and (c) otherwise comply with all federal and state securities laws in connection with such purchase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15.08. </w:t>
      </w:r>
      <w:r>
        <w:rPr>
          <w:rFonts w:ascii="Times New Roman;Times;Serif" w:hAnsi="Times New Roman;Times;Serif"/>
          <w:b w:val="false"/>
          <w:i/>
          <w:caps w:val="false"/>
          <w:smallCaps w:val="false"/>
          <w:sz w:val="20"/>
        </w:rPr>
        <w:t>Repayment to the Company</w:t>
      </w:r>
      <w:r>
        <w:rPr>
          <w:rFonts w:ascii="Times New Roman;Times;Serif" w:hAnsi="Times New Roman;Times;Serif"/>
          <w:b w:val="false"/>
          <w:i w:val="false"/>
          <w:caps w:val="false"/>
          <w:smallCaps w:val="false"/>
          <w:sz w:val="20"/>
        </w:rPr>
        <w:t>. To the extent that the aggregate amount of cash deposited by the Company pursuant to Section 15.05 exceeds the aggregate Fundamental Change Repurchase Price of the Securities or portions thereof that the Company is obligated to purchase as of the Fundamental Change Repurchase Date, then, following the Fundamental Change Repurchase Date, the Paying Agent shall promptly return any such excess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15.09. </w:t>
      </w:r>
      <w:r>
        <w:rPr>
          <w:rFonts w:ascii="Times New Roman;Times;Serif" w:hAnsi="Times New Roman;Times;Serif"/>
          <w:b w:val="false"/>
          <w:i/>
          <w:caps w:val="false"/>
          <w:smallCaps w:val="false"/>
          <w:sz w:val="20"/>
        </w:rPr>
        <w:t>No Requirement to Conduct an Offer to Repurchase Notes if the Fundamental Change Results in the Notes Becoming Convertible into an Amount of Cash Exceeding the Fundamental Change Repurchase Price</w:t>
      </w:r>
      <w:r>
        <w:rPr>
          <w:rFonts w:ascii="Times New Roman;Times;Serif" w:hAnsi="Times New Roman;Times;Serif"/>
          <w:b w:val="false"/>
          <w:i w:val="false"/>
          <w:caps w:val="false"/>
          <w:smallCaps w:val="false"/>
          <w:sz w:val="20"/>
        </w:rPr>
        <w:t>. Notwithstanding anything to the contrary in this Indenture, the Company shall not be required to send a Fundamental Change Company Notice, or offer to repurchase or repurchase any Notes pursuant to this Article 15, in connection with a Fundamental Change occurring pursuant to clause (b)(A) or (b)(B) (or pursuant to clause (a) that also constitutes a Fundamental Change pursuant to clause (b)(A) or (b)(B)) of the definition thereof, if: (i) such Fundamental Change constitutes a Common Stock Change Event for which the resulting Reference Property consists entirely of cash in U.S. dollars; (ii) immediately after such Fundamental Change, the Notes become convertible (pursuant to the provisions described in Section 14.07 and, if applicable, Section 14.06) into consideration that consists solely of U.S. dollars in an amount per $1,000 principal amount of Notes that equals or exceeds the Fundamental Change Repurchase Price per $1,000 principal amount of Notes (calculated assuming a Fundamental Change Repurchase Date that results in a Fundamental Change Repurchase Price that includes the maximum amount of accrued interest); and (iii) the Company timely sends the notice relating to such Fundamental Change required pursuant to Section 14.01(b)(iv).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16</w:t>
      </w:r>
      <w:r>
        <w:rPr>
          <w:rFonts w:ascii="Times New Roman;Times;Serif" w:hAnsi="Times New Roman;Times;Serif"/>
          <w:b w:val="false"/>
          <w:i w:val="false"/>
          <w:smallCaps/>
          <w:sz w:val="20"/>
        </w:rPr>
        <w:br/>
        <w:t>No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16.01. </w:t>
      </w:r>
      <w:r>
        <w:rPr>
          <w:rFonts w:ascii="Times New Roman;Times;Serif" w:hAnsi="Times New Roman;Times;Serif"/>
          <w:b w:val="false"/>
          <w:i/>
          <w:caps w:val="false"/>
          <w:smallCaps w:val="false"/>
          <w:sz w:val="20"/>
        </w:rPr>
        <w:t>No Optional Redemption</w:t>
      </w:r>
      <w:r>
        <w:rPr>
          <w:rFonts w:ascii="Times New Roman;Times;Serif" w:hAnsi="Times New Roman;Times;Serif"/>
          <w:b w:val="false"/>
          <w:i w:val="false"/>
          <w:caps w:val="false"/>
          <w:smallCaps w:val="false"/>
          <w:sz w:val="20"/>
        </w:rPr>
        <w:t>. The Securities shall not be redeemable by the Company prior to the Maturity Date, and no sinking fund is provided for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17</w:t>
      </w:r>
      <w:r>
        <w:rPr>
          <w:rFonts w:ascii="Times New Roman;Times;Serif" w:hAnsi="Times New Roman;Times;Serif"/>
          <w:b w:val="false"/>
          <w:i w:val="false"/>
          <w:smallCaps/>
          <w:sz w:val="20"/>
        </w:rPr>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17.01. </w:t>
      </w:r>
      <w:r>
        <w:rPr>
          <w:rFonts w:ascii="Times New Roman;Times;Serif" w:hAnsi="Times New Roman;Times;Serif"/>
          <w:b w:val="false"/>
          <w:i/>
          <w:caps w:val="false"/>
          <w:smallCaps w:val="false"/>
          <w:sz w:val="20"/>
        </w:rPr>
        <w:t>Provisions Binding on Company’s Successors.</w:t>
      </w:r>
      <w:r>
        <w:rPr>
          <w:rFonts w:ascii="Times New Roman;Times;Serif" w:hAnsi="Times New Roman;Times;Serif"/>
          <w:b w:val="false"/>
          <w:i w:val="false"/>
          <w:caps w:val="false"/>
          <w:smallCaps w:val="false"/>
          <w:sz w:val="20"/>
        </w:rPr>
        <w:t xml:space="preserve"> All the covenants, stipulations, promises and agreements of the Company contained in this Indenture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17.02. </w:t>
      </w:r>
      <w:r>
        <w:rPr>
          <w:rFonts w:ascii="Times New Roman;Times;Serif" w:hAnsi="Times New Roman;Times;Serif"/>
          <w:b w:val="false"/>
          <w:i/>
          <w:caps w:val="false"/>
          <w:smallCaps w:val="false"/>
          <w:sz w:val="20"/>
        </w:rPr>
        <w:t>Official Acts by Successor Entity.</w:t>
      </w:r>
      <w:r>
        <w:rPr>
          <w:rFonts w:ascii="Times New Roman;Times;Serif" w:hAnsi="Times New Roman;Times;Serif"/>
          <w:b w:val="false"/>
          <w:i w:val="false"/>
          <w:caps w:val="false"/>
          <w:smallCaps w:val="false"/>
          <w:sz w:val="20"/>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17.03. </w:t>
      </w:r>
      <w:r>
        <w:rPr>
          <w:rFonts w:ascii="Times New Roman;Times;Serif" w:hAnsi="Times New Roman;Times;Serif"/>
          <w:b w:val="false"/>
          <w:i/>
          <w:caps w:val="false"/>
          <w:smallCaps w:val="false"/>
          <w:sz w:val="20"/>
        </w:rPr>
        <w:t>Addresses for Notices, Etc.</w:t>
      </w:r>
      <w:r>
        <w:rPr>
          <w:rFonts w:ascii="Times New Roman;Times;Serif" w:hAnsi="Times New Roman;Times;Serif"/>
          <w:b w:val="false"/>
          <w:i w:val="false"/>
          <w:caps w:val="false"/>
          <w:smallCaps w:val="false"/>
          <w:sz w:val="20"/>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Arbor Realty Trust, Inc., 333 Earle Ovington Boulevard, Suite 900, Uniondale, New York 11553, Attention: Paul Elenio, Chief Financial Officer. Any notice, direction, request or demand hereunder to or upon the Trustee shall be deemed to have been sufficiently given or made, for all purposes, upon actual receipt by the Trustee at the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Company,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delivered or to be delivered to a Holder of Physical Securities shall be mailed to it by first class mail, postage prepaid, at its address as it appears on the Security Register and shall be sufficiently given to it if so mailed within the time prescribed. Any notice or communication delivered or to be delivered to a Holder of Global Securities shall be delivered in accordance with the Applicable Procedures of the Depositary and shall be sufficiently given to it if so delivered within the time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17.04. </w:t>
      </w:r>
      <w:r>
        <w:rPr>
          <w:rFonts w:ascii="Times New Roman;Times;Serif" w:hAnsi="Times New Roman;Times;Serif"/>
          <w:b w:val="false"/>
          <w:i/>
          <w:caps w:val="false"/>
          <w:smallCaps w:val="false"/>
          <w:sz w:val="20"/>
        </w:rPr>
        <w:t>Governing Law; Jurisdiction.</w:t>
      </w:r>
      <w:r>
        <w:rPr>
          <w:rFonts w:ascii="Times New Roman;Times;Serif" w:hAnsi="Times New Roman;Times;Serif"/>
          <w:b w:val="false"/>
          <w:i w:val="false"/>
          <w:caps w:val="false"/>
          <w:smallCaps w:val="false"/>
          <w:sz w:val="20"/>
        </w:rPr>
        <w:t xml:space="preserve"> THIS INDENTURE, THE SECURITIES, AND ANY CLAIM, CONTROVERSY OR DISPUTE ARISING UNDER OR RELATED TO THIS INDENTURE OR THE SECURITIES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irrevocably consents and agrees, for the benefit of the Holders from time to time of the Securities and the Trustee, that any legal action, suit or proceeding against it with respect to obligations, liabilities or any other matter arising out of or in connection with this Indenture or the Securities may be brought in the courts of the State of New York or the courts of the United States located in the Borough of Manhattan, New York City, New York and, until amounts due and to become due in respect of the Securities have been paid, hereby irrevocably consents and submits to the non-exclusive jurisdiction of each such court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generally and unconditionally with respect to any action, suit or proceeding for itself in respect of its properties, assets and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17.05. </w:t>
      </w:r>
      <w:r>
        <w:rPr>
          <w:rFonts w:ascii="Times New Roman;Times;Serif" w:hAnsi="Times New Roman;Times;Serif"/>
          <w:b w:val="false"/>
          <w:i/>
          <w:caps w:val="false"/>
          <w:smallCaps w:val="false"/>
          <w:sz w:val="20"/>
        </w:rPr>
        <w:t>Evidence of Compliance with Conditions Precedent; Certificates and Opinions of Counsel to Trustee.</w:t>
      </w:r>
      <w:r>
        <w:rPr>
          <w:rFonts w:ascii="Times New Roman;Times;Serif" w:hAnsi="Times New Roman;Times;Serif"/>
          <w:b w:val="false"/>
          <w:i w:val="false"/>
          <w:caps w:val="false"/>
          <w:smallCaps w:val="false"/>
          <w:sz w:val="20"/>
        </w:rPr>
        <w:t xml:space="preserve">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Officers’ Certificate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17.06. </w:t>
      </w:r>
      <w:r>
        <w:rPr>
          <w:rFonts w:ascii="Times New Roman;Times;Serif" w:hAnsi="Times New Roman;Times;Serif"/>
          <w:b w:val="false"/>
          <w:i/>
          <w:caps w:val="false"/>
          <w:smallCaps w:val="false"/>
          <w:sz w:val="20"/>
        </w:rPr>
        <w:t>Legal Holidays.</w:t>
      </w:r>
      <w:r>
        <w:rPr>
          <w:rFonts w:ascii="Times New Roman;Times;Serif" w:hAnsi="Times New Roman;Times;Serif"/>
          <w:b w:val="false"/>
          <w:i w:val="false"/>
          <w:caps w:val="false"/>
          <w:smallCaps w:val="false"/>
          <w:sz w:val="20"/>
        </w:rPr>
        <w:t xml:space="preserve"> In any case where any Interest Payment Date, any Fundamental Change Repurchase Date or the Maturity Date is not a Business Day, then any action to be taken on such date need not be taken on such date, but may be taken on the next succeeding Business Day, and no interest shall accrue in respect of the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17.07. </w:t>
      </w:r>
      <w:r>
        <w:rPr>
          <w:rFonts w:ascii="Times New Roman;Times;Serif" w:hAnsi="Times New Roman;Times;Serif"/>
          <w:b w:val="false"/>
          <w:i/>
          <w:caps w:val="false"/>
          <w:smallCaps w:val="false"/>
          <w:sz w:val="20"/>
        </w:rPr>
        <w:t>No Security Interest Created.</w:t>
      </w:r>
      <w:r>
        <w:rPr>
          <w:rFonts w:ascii="Times New Roman;Times;Serif" w:hAnsi="Times New Roman;Times;Serif"/>
          <w:b w:val="false"/>
          <w:i w:val="false"/>
          <w:caps w:val="false"/>
          <w:smallCaps w:val="false"/>
          <w:sz w:val="20"/>
        </w:rPr>
        <w:t xml:space="preserve"> Nothing in this Indenture or in the Securities, expressed or implied, shall be construed to constitute a security interest under the Uniform Commercial Code or similar legislation, as now or hereafter enacted and in effect,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17.08. </w:t>
      </w:r>
      <w:r>
        <w:rPr>
          <w:rFonts w:ascii="Times New Roman;Times;Serif" w:hAnsi="Times New Roman;Times;Serif"/>
          <w:b w:val="false"/>
          <w:i/>
          <w:caps w:val="false"/>
          <w:smallCaps w:val="false"/>
          <w:sz w:val="20"/>
        </w:rPr>
        <w:t>Benefits of Indenture.</w:t>
      </w:r>
      <w:r>
        <w:rPr>
          <w:rFonts w:ascii="Times New Roman;Times;Serif" w:hAnsi="Times New Roman;Times;Serif"/>
          <w:b w:val="false"/>
          <w:i w:val="false"/>
          <w:caps w:val="false"/>
          <w:smallCaps w:val="false"/>
          <w:sz w:val="20"/>
        </w:rPr>
        <w:t xml:space="preserve"> Nothing in this Indenture or in the Securities, expressed or implied, will give to any Person, other than the Holders, the parties hereto, any Paying Agent, any Conversion Agent, any authenticating agent, any Security Registrar or their successors hereunder,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17.09. </w:t>
      </w:r>
      <w:r>
        <w:rPr>
          <w:rFonts w:ascii="Times New Roman;Times;Serif" w:hAnsi="Times New Roman;Times;Serif"/>
          <w:b w:val="false"/>
          <w:i/>
          <w:caps w:val="false"/>
          <w:smallCaps w:val="false"/>
          <w:sz w:val="20"/>
        </w:rPr>
        <w:t>Table of Contents, Headings, Etc.</w:t>
      </w:r>
      <w:r>
        <w:rPr>
          <w:rFonts w:ascii="Times New Roman;Times;Serif" w:hAnsi="Times New Roman;Times;Serif"/>
          <w:b w:val="false"/>
          <w:i w:val="false"/>
          <w:caps w:val="false"/>
          <w:smallCaps w:val="false"/>
          <w:sz w:val="20"/>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17.10. </w:t>
      </w:r>
      <w:r>
        <w:rPr>
          <w:rFonts w:ascii="Times New Roman;Times;Serif" w:hAnsi="Times New Roman;Times;Serif"/>
          <w:b w:val="false"/>
          <w:i/>
          <w:caps w:val="false"/>
          <w:smallCaps w:val="false"/>
          <w:sz w:val="20"/>
        </w:rPr>
        <w:t>Authenticating Agent.</w:t>
      </w:r>
      <w:r>
        <w:rPr>
          <w:rFonts w:ascii="Times New Roman;Times;Serif" w:hAnsi="Times New Roman;Times;Serif"/>
          <w:b w:val="false"/>
          <w:i w:val="false"/>
          <w:caps w:val="false"/>
          <w:smallCaps w:val="false"/>
          <w:sz w:val="20"/>
        </w:rPr>
        <w:t xml:space="preserve"> The Trustee may appoint an authenticating agent that shall be authorized to act on its behalf and subject to its direction in the authentication and delivery of Securities in connection with the original issuance thereof and transfers and exchanges of Securities hereunder, including under Section 2.04, Section 2.05, Section 2.06, Section 2.07, Section 10.04 and Section 15.05 as fully to all intents and purposes as though the authenticating agent had been expressly authorized by this Indenture and those Sections to authenticate and deliver Securities. For all purposes of this Indenture, the authentication and delivery of Securities by the authenticating agent shall be deemed to be authentication and delivery of such Securities “by the Trustee” and a certificate of authentication executed on behalf of the Trustee by an authenticating agent shall be deemed to satisfy any requirement hereunder or in the Securities for the Trustee’s certificate of authentication. Such authenticating agent shall at all times be a Person eligible to serve as trustee hereunder pursuant to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entity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the authenticating agent from time to time reasonable compensation for its services although the Company may terminate the authenticating agent, if it determines such agent’s fees to be unreasonable.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 7.02, Section 7.03, Section 7.04, Section 8.03 and this Section 17.10 shall be applicable to any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authenticating agent is appointed pursuant to this Section 17.10, the Securities may have endorsed thereon, in addition to the Trustee’s certificate of authentication, an alternative certificate of authentication in the following form:</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6170"/>
      </w:tblGrid>
      <w:tr>
        <w:trPr/>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__________________________,</w:t>
            </w:r>
          </w:p>
        </w:tc>
      </w:tr>
      <w:tr>
        <w:trPr/>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Authenticating Agent, certifies that this is one of the Securities described</w:t>
            </w:r>
          </w:p>
        </w:tc>
      </w:tr>
      <w:tr>
        <w:trPr/>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within-named Indenture.</w:t>
            </w:r>
          </w:p>
        </w:tc>
      </w:tr>
    </w:tbl>
    <w:p>
      <w:pPr>
        <w:pStyle w:val="TextBody"/>
        <w:bidi w:val="0"/>
        <w:spacing w:before="0" w:after="283"/>
        <w:jc w:val="left"/>
        <w:rPr/>
      </w:pPr>
      <w:r>
        <w:rPr/>
        <w:t> </w:t>
      </w:r>
    </w:p>
    <w:tbl>
      <w:tblPr>
        <w:tblW w:w="1625" w:type="dxa"/>
        <w:jc w:val="left"/>
        <w:tblInd w:w="0" w:type="dxa"/>
        <w:tblLayout w:type="fixed"/>
        <w:tblCellMar>
          <w:top w:w="0" w:type="dxa"/>
          <w:left w:w="0" w:type="dxa"/>
          <w:bottom w:w="0" w:type="dxa"/>
          <w:right w:w="0" w:type="dxa"/>
        </w:tblCellMar>
      </w:tblPr>
      <w:tblGrid>
        <w:gridCol w:w="1271"/>
        <w:gridCol w:w="279"/>
        <w:gridCol w:w="75"/>
      </w:tblGrid>
      <w:tr>
        <w:trPr/>
        <w:tc>
          <w:tcPr>
            <w:tcW w:w="1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9"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17.11. </w:t>
      </w:r>
      <w:r>
        <w:rPr>
          <w:rFonts w:ascii="Times New Roman;Times;Serif" w:hAnsi="Times New Roman;Times;Serif"/>
          <w:b w:val="false"/>
          <w:i/>
          <w:caps w:val="false"/>
          <w:smallCaps w:val="false"/>
          <w:sz w:val="20"/>
        </w:rPr>
        <w:t>Execution in Counterparts.</w:t>
      </w:r>
      <w:r>
        <w:rPr>
          <w:rFonts w:ascii="Times New Roman;Times;Serif" w:hAnsi="Times New Roman;Times;Serif"/>
          <w:b w:val="false"/>
          <w:i w:val="false"/>
          <w:caps w:val="false"/>
          <w:smallCaps w:val="false"/>
          <w:sz w:val="20"/>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xml:space="preserve"> In the event any provision of this Indenture or in the Securities shall be invalid, illegal or unenforceable, then (to the extent permitted by law) the validity, legality or enforceability of the remaining provisions shall not in any way be affected or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17.13.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OF THE COMPANY AND THE TRUSTEE HEREBY IRREVOCABLY WAIVES, TO THE FULLEST EXTENT PERMITTED BY APPLICABLE LAW, ANY AND ALL RIGHT TO TRIAL BY JURY IN ANY LEGAL PROCEEDING ARISING OUT OF OR RELATING TO THIS INDENTURE, THE SECURITIES OR THE TRANSACTIONS CONTEMPLATED HEREBY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17.14.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pandemics,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17.15.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Except as otherwise provided in this Indenture, the Company shall be responsible for making all calculations called for under the Securities. These calculations include, but are not limited to, determinations of the Stock Price, Last Reported Sale Prices of the Common Stock, the trading prices of the Securities (for purposes of determining whether the Securities are convertible pursuant to Section 14.01), Daily VWAPs, the Daily Conversion Values, the Daily Settlement Amounts, accrued interest payable on the Securities and the Conversion Rate. The Company shall make all these calculations in good faith and, absent manifest error, the Company’s calculations shall be final and binding on Holders of Securities. The Company shall provide a schedule of its calculations to each of the Trustee, the Paying Agent and the Conversion Agent, and each of the Trustee, the Paying Agent and Conversion Agent is entitled to rely conclusively upon the accuracy of the Company’s calculations without independent verification. The Trustee will forward the Company’s calculations to any Holder upon the request of that Holder at the sole cost and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Company is required to calculate the Conversion Rate, the Company will do so to the nearest 1/10,000th of a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17.16. </w:t>
      </w:r>
      <w:r>
        <w:rPr>
          <w:rFonts w:ascii="Times New Roman;Times;Serif" w:hAnsi="Times New Roman;Times;Serif"/>
          <w:b w:val="false"/>
          <w:i/>
          <w:caps w:val="false"/>
          <w:smallCaps w:val="false"/>
          <w:sz w:val="20"/>
        </w:rPr>
        <w:t xml:space="preserve">USA PATRIOT Act. </w:t>
      </w: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17.17. </w:t>
      </w:r>
      <w:r>
        <w:rPr>
          <w:rFonts w:ascii="Times New Roman;Times;Serif" w:hAnsi="Times New Roman;Times;Serif"/>
          <w:b w:val="false"/>
          <w:i/>
          <w:caps w:val="false"/>
          <w:smallCaps w:val="false"/>
          <w:sz w:val="20"/>
        </w:rPr>
        <w:t xml:space="preserve">Electronic Signatures. </w:t>
      </w:r>
      <w:r>
        <w:rPr>
          <w:rFonts w:ascii="Times New Roman;Times;Serif" w:hAnsi="Times New Roman;Times;Serif"/>
          <w:b w:val="false"/>
          <w:i w:val="false"/>
          <w:caps w:val="false"/>
          <w:smallCaps w:val="false"/>
          <w:sz w:val="20"/>
        </w:rPr>
        <w:t>All notices, approvals, consents and requests must be in writing (provided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a digital signatures and electronic methods to submit communications to Trustee, including without limitation the risk of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the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75"/>
        <w:gridCol w:w="320"/>
        <w:gridCol w:w="545"/>
        <w:gridCol w:w="1895"/>
      </w:tblGrid>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ARBOR REALTY TRUST, INC.</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Paul Elenio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Elenio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5944" w:type="dxa"/>
        <w:jc w:val="left"/>
        <w:tblInd w:w="0" w:type="dxa"/>
        <w:tblLayout w:type="fixed"/>
        <w:tblCellMar>
          <w:top w:w="0" w:type="dxa"/>
          <w:left w:w="0" w:type="dxa"/>
          <w:bottom w:w="0" w:type="dxa"/>
          <w:right w:w="0" w:type="dxa"/>
        </w:tblCellMar>
      </w:tblPr>
      <w:tblGrid>
        <w:gridCol w:w="75"/>
        <w:gridCol w:w="659"/>
        <w:gridCol w:w="1122"/>
        <w:gridCol w:w="4088"/>
      </w:tblGrid>
      <w:tr>
        <w:trPr/>
        <w:tc>
          <w:tcPr>
            <w:tcW w:w="75" w:type="dxa"/>
            <w:tcBorders/>
            <w:vAlign w:val="center"/>
          </w:tcPr>
          <w:p>
            <w:pPr>
              <w:pStyle w:val="TableContents"/>
              <w:bidi w:val="0"/>
              <w:spacing w:before="0" w:after="283"/>
              <w:jc w:val="left"/>
              <w:rPr/>
            </w:pPr>
            <w:r>
              <w:rPr/>
              <w:t> </w:t>
            </w:r>
          </w:p>
        </w:tc>
        <w:tc>
          <w:tcPr>
            <w:tcW w:w="58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58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Quinton M. DePompolo</w:t>
            </w:r>
          </w:p>
        </w:tc>
      </w:tr>
      <w:tr>
        <w:trPr/>
        <w:tc>
          <w:tcPr>
            <w:tcW w:w="75"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Quinton M. DePompolo</w:t>
            </w:r>
          </w:p>
        </w:tc>
      </w:tr>
      <w:tr>
        <w:trPr/>
        <w:tc>
          <w:tcPr>
            <w:tcW w:w="75"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Additional Shares by which the Conversion Rate shall be increased pursuant to Section 14.06 based on the Stock Price and Effective Date set forth below:</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1250"/>
        <w:gridCol w:w="60"/>
        <w:gridCol w:w="695"/>
        <w:gridCol w:w="60"/>
        <w:gridCol w:w="695"/>
        <w:gridCol w:w="60"/>
        <w:gridCol w:w="695"/>
        <w:gridCol w:w="60"/>
        <w:gridCol w:w="590"/>
        <w:gridCol w:w="60"/>
        <w:gridCol w:w="590"/>
        <w:gridCol w:w="60"/>
        <w:gridCol w:w="590"/>
        <w:gridCol w:w="60"/>
        <w:gridCol w:w="590"/>
        <w:gridCol w:w="60"/>
        <w:gridCol w:w="590"/>
        <w:gridCol w:w="60"/>
        <w:gridCol w:w="590"/>
        <w:gridCol w:w="60"/>
        <w:gridCol w:w="60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price</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$7.60</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0.6606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0.6606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ARBOR REALTY TRUST, INC.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ARBOR REALTY TRUST, INC. OR PERSON THAT HAS BEEN AN AFFILIATE (AS DEFINED IN RULE 144 UNDER THE SECURITIES ACT) OF ARBOR REALTY TRUST, INC. DURING THE IMMEDIATELY PRECEDING THREE MONTHS MAY PURCHASE, OTHERWISE ACQUIRE OR HOLD THIS SECURITY OR A BENEFICIAL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ARBOR REALTY TRUST,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Convertible Senior Notes due 2029</w:t>
      </w:r>
    </w:p>
    <w:p>
      <w:pPr>
        <w:pStyle w:val="TextBody"/>
        <w:bidi w:val="0"/>
        <w:spacing w:before="0" w:after="0"/>
        <w:ind w:left="0" w:right="0" w:hanging="0"/>
        <w:jc w:val="left"/>
        <w:rPr>
          <w:caps w:val="false"/>
          <w:smallCaps w:val="false"/>
        </w:rPr>
      </w:pPr>
      <w:r>
        <w:rPr>
          <w:caps w:val="false"/>
          <w:smallCaps w:val="false"/>
        </w:rPr>
        <w:t> </w:t>
      </w:r>
    </w:p>
    <w:tbl>
      <w:tblPr>
        <w:tblW w:w="3435" w:type="dxa"/>
        <w:jc w:val="left"/>
        <w:tblInd w:w="0" w:type="dxa"/>
        <w:tblLayout w:type="fixed"/>
        <w:tblCellMar>
          <w:top w:w="0" w:type="dxa"/>
          <w:left w:w="0" w:type="dxa"/>
          <w:bottom w:w="0" w:type="dxa"/>
          <w:right w:w="0" w:type="dxa"/>
        </w:tblCellMar>
      </w:tblPr>
      <w:tblGrid>
        <w:gridCol w:w="320"/>
        <w:gridCol w:w="710"/>
        <w:gridCol w:w="2405"/>
      </w:tblGrid>
      <w:tr>
        <w:trPr/>
        <w:tc>
          <w:tcPr>
            <w:tcW w:w="320" w:type="dxa"/>
            <w:tcBorders/>
            <w:vAlign w:val="center"/>
          </w:tcPr>
          <w:p>
            <w:pPr>
              <w:pStyle w:val="TableContents"/>
              <w:bidi w:val="0"/>
              <w:spacing w:before="0" w:after="283"/>
              <w:jc w:val="left"/>
              <w:rPr>
                <w:sz w:val="20"/>
              </w:rPr>
            </w:pPr>
            <w:r>
              <w:rPr>
                <w:sz w:val="20"/>
              </w:rPr>
              <w:t>No.</w:t>
            </w:r>
          </w:p>
        </w:tc>
        <w:tc>
          <w:tcPr>
            <w:tcW w:w="710" w:type="dxa"/>
            <w:tcBorders/>
            <w:vAlign w:val="center"/>
          </w:tcPr>
          <w:p>
            <w:pPr>
              <w:pStyle w:val="TableContents"/>
              <w:bidi w:val="0"/>
              <w:spacing w:before="0" w:after="283"/>
              <w:jc w:val="both"/>
              <w:rPr/>
            </w:pPr>
            <w:r>
              <w:rPr/>
              <w:t> </w:t>
            </w:r>
            <w:r>
              <w:rPr>
                <w:sz w:val="20"/>
              </w:rPr>
              <w:t>[_____]</w:t>
            </w:r>
          </w:p>
        </w:tc>
        <w:tc>
          <w:tcPr>
            <w:tcW w:w="2405" w:type="dxa"/>
            <w:tcBorders/>
            <w:vAlign w:val="center"/>
          </w:tcPr>
          <w:p>
            <w:pPr>
              <w:pStyle w:val="TableContents"/>
              <w:bidi w:val="0"/>
              <w:spacing w:before="0" w:after="283"/>
              <w:jc w:val="both"/>
              <w:rPr/>
            </w:pPr>
            <w:r>
              <w:rPr/>
              <w:t>[Initially]</w:t>
            </w:r>
            <w:r>
              <w:rPr>
                <w:position w:val="7"/>
                <w:sz w:val="16"/>
                <w:sz w:val="20"/>
              </w:rPr>
              <w:t>1</w:t>
            </w:r>
            <w:r>
              <w:rPr/>
              <w:t xml:space="preserve"> $[_________]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Arbor Realty Trust, Inc., a corporation duly organized and validly existing under the laws of the State of Maryland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entity or other entity under the Indenture referred to on the reverse hereof), for value received hereby promises to pay to [CEDE &amp; CO.]</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[_______]</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or registered assigns, the principal sum [as set forth in the “Schedule of Exchanges of Securities” attached hereto]</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[of $[_______]]</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which amount, taken together with the principal amounts of all other outstanding Securities, shall not, unless permitted by the Indenture, exceed $375,000,000 in aggregate at any time, in accordance with the rules and Applicable Procedures, on July 1, 2029, and interest thereon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bear interest at the rate of 6.25% per annum, accruing from July 6, 2026, or from the most recent date to which interest had been paid or provided for to, but excluding, the next scheduled Interest Payment Date until July 1, 2029. Interest on this Security is payable semi-annually in arrears on each January 1 and July 1, commencing on January 1, 2027, to Holders of record at the Close of Business on the preceding December 15 and June 15 (whether or not such day is a Business Day), respectively. Additional Interest will be payable as set forth in Section 4.06(d), Section 4.06(e) and Section 6.03 of the within-mentioned Indenture, and any reference to interest on, or in respect of, any Security therein shall be deemed to include Additional Interest if, in such context, Additional Interest is, was or would be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Defaulted Amounts shall accrue Default Interest, subject to the enforceability thereof under applicable law, from, and including, the relevant payment date to, but excluding, the date on which such Defaulted Amounts and such Default Interest shall have been paid by the Company, at its election, in accordance with Section 2.03(c)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or cause the Paying Agent to pay, the principal of and interest on this Security, if and so long as such Security is a Global Security, in immediately available funds to the Depositary or its nominee, as the case may be, as the registered Holder of such Security. As provided in and subject to the provisions of the Indenture, the Company shall pay, or cause the Paying Agent to pay, the principal of any Securities (other than Securities that are Global Securities) at the office or agency designated by the Company for that purpose. The Company has initially designated the Trustee as its Paying Agent and Security Registrar in respect of the Securities and the Corporate Trust Office, as a place where Securities may be presented for payment or for registration of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set forth on the reverse hereof, including, without limitation, provisions giving the Holder of this Security the right to convert this Security into cash, and, if applicable, shares of Common Stock, on the terms and subject to the limitations set forth in the Indenture.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Security, and any claim, controversy or dispute arising under or related to this Security, shall be construed in accordance with and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conflict between this Security and the Indenture, the provisions of the Indenture shall control and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or become obligatory for any purpose until the certificate of authentication hereon shall have been signed manually by the Trustee or a duly authorized authenticating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Security to be duly executed.</w:t>
      </w:r>
    </w:p>
    <w:p>
      <w:pPr>
        <w:pStyle w:val="TextBody"/>
        <w:bidi w:val="0"/>
        <w:spacing w:before="0" w:after="0"/>
        <w:ind w:left="0" w:right="0" w:hanging="0"/>
        <w:jc w:val="left"/>
        <w:rPr>
          <w:caps w:val="false"/>
          <w:smallCaps w:val="false"/>
        </w:rPr>
      </w:pPr>
      <w:r>
        <w:rPr>
          <w:caps w:val="false"/>
          <w:smallCaps w:val="false"/>
        </w:rPr>
        <w:t> </w:t>
      </w:r>
    </w:p>
    <w:tbl>
      <w:tblPr>
        <w:tblW w:w="2704" w:type="dxa"/>
        <w:jc w:val="left"/>
        <w:tblInd w:w="0" w:type="dxa"/>
        <w:tblLayout w:type="fixed"/>
        <w:tblCellMar>
          <w:top w:w="0" w:type="dxa"/>
          <w:left w:w="0" w:type="dxa"/>
          <w:bottom w:w="0" w:type="dxa"/>
          <w:right w:w="0" w:type="dxa"/>
        </w:tblCellMar>
      </w:tblPr>
      <w:tblGrid>
        <w:gridCol w:w="75"/>
        <w:gridCol w:w="956"/>
        <w:gridCol w:w="1673"/>
      </w:tblGrid>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ARBOR REALTY TRUST, INC.</w:t>
            </w:r>
          </w:p>
        </w:tc>
      </w:tr>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7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5089" w:type="dxa"/>
        <w:jc w:val="left"/>
        <w:tblInd w:w="0" w:type="dxa"/>
        <w:tblLayout w:type="fixed"/>
        <w:tblCellMar>
          <w:top w:w="0" w:type="dxa"/>
          <w:left w:w="0" w:type="dxa"/>
          <w:bottom w:w="0" w:type="dxa"/>
          <w:right w:w="0" w:type="dxa"/>
        </w:tblCellMar>
      </w:tblPr>
      <w:tblGrid>
        <w:gridCol w:w="4108"/>
        <w:gridCol w:w="906"/>
        <w:gridCol w:w="75"/>
      </w:tblGrid>
      <w:tr>
        <w:trPr/>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75" w:type="dxa"/>
            <w:tcBorders/>
            <w:vAlign w:val="center"/>
          </w:tcPr>
          <w:p>
            <w:pPr>
              <w:pStyle w:val="TableContents"/>
              <w:bidi w:val="0"/>
              <w:spacing w:before="0" w:after="283"/>
              <w:jc w:val="left"/>
              <w:rPr/>
            </w:pPr>
            <w:r>
              <w:rPr/>
              <w:t> </w:t>
            </w:r>
          </w:p>
        </w:tc>
      </w:tr>
      <w:tr>
        <w:trPr/>
        <w:tc>
          <w:tcPr>
            <w:tcW w:w="5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CERTIFICATE OF AUTHENTICATION</w:t>
            </w:r>
          </w:p>
        </w:tc>
        <w:tc>
          <w:tcPr>
            <w:tcW w:w="75" w:type="dxa"/>
            <w:tcBorders/>
            <w:vAlign w:val="center"/>
          </w:tcPr>
          <w:p>
            <w:pPr>
              <w:pStyle w:val="TableContents"/>
              <w:bidi w:val="0"/>
              <w:spacing w:before="0" w:after="283"/>
              <w:jc w:val="left"/>
              <w:rPr/>
            </w:pPr>
            <w:r>
              <w:rPr/>
              <w:t> </w:t>
            </w:r>
          </w:p>
        </w:tc>
      </w:tr>
      <w:tr>
        <w:trPr/>
        <w:tc>
          <w:tcPr>
            <w:tcW w:w="5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c>
          <w:tcPr>
            <w:tcW w:w="75" w:type="dxa"/>
            <w:tcBorders/>
            <w:vAlign w:val="center"/>
          </w:tcPr>
          <w:p>
            <w:pPr>
              <w:pStyle w:val="TableContents"/>
              <w:bidi w:val="0"/>
              <w:spacing w:before="0" w:after="283"/>
              <w:jc w:val="left"/>
              <w:rPr/>
            </w:pPr>
            <w:r>
              <w:rPr/>
              <w:t> </w:t>
            </w:r>
          </w:p>
        </w:tc>
      </w:tr>
      <w:tr>
        <w:trPr/>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 certifies that this is one of the Securities described</w:t>
            </w:r>
          </w:p>
        </w:tc>
        <w:tc>
          <w:tcPr>
            <w:tcW w:w="75" w:type="dxa"/>
            <w:tcBorders/>
            <w:vAlign w:val="center"/>
          </w:tcPr>
          <w:p>
            <w:pPr>
              <w:pStyle w:val="TableContents"/>
              <w:bidi w:val="0"/>
              <w:spacing w:before="0" w:after="283"/>
              <w:jc w:val="left"/>
              <w:rPr/>
            </w:pPr>
            <w:r>
              <w:rPr/>
              <w:t> </w:t>
            </w:r>
          </w:p>
        </w:tc>
      </w:tr>
      <w:tr>
        <w:trPr/>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within-named Indenture.</w:t>
            </w:r>
          </w:p>
        </w:tc>
        <w:tc>
          <w:tcPr>
            <w:tcW w:w="75" w:type="dxa"/>
            <w:tcBorders/>
            <w:vAlign w:val="center"/>
          </w:tcPr>
          <w:p>
            <w:pPr>
              <w:pStyle w:val="TableContents"/>
              <w:bidi w:val="0"/>
              <w:spacing w:before="0" w:after="283"/>
              <w:jc w:val="left"/>
              <w:rPr/>
            </w:pPr>
            <w:r>
              <w:rPr/>
              <w:t> </w:t>
            </w:r>
          </w:p>
        </w:tc>
      </w:tr>
      <w:tr>
        <w:trPr/>
        <w:tc>
          <w:tcPr>
            <w:tcW w:w="5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ARBOR REALTY TRUST, INC.</w:t>
        <w:br/>
        <w:t>6.25% Convertible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designated as its 6.25% Convertible Senior Notes due 2029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initially limited to the aggregate principal amount of $375,000,000 all issued or to be issued under and pursuant to an Indenture dated as of July 6, 2026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which Indenture and all indentures supplemental thereto reference is hereby made for a description of the rights, limitations of rights, obligations, duties and immunities thereunder of the Trustee, the Company and the Holders of the Securities. Additional Securities may be issued in an unlimited aggregate principal amount, subject to certain conditions specified in the Indenture. Capitalized terms used in this Security and not defined in this Security shall have the respective meanings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certain Events of Default shall have occurred and be continuing, the principal of, and interest on, all Securities may be declared, by either the Trustee or Holders of at least 25% in aggregate principal amount of Securities then outstanding, and upon said declaration shall become, due and payable, in the manner, with the effect and subject to the conditions and certain exceptions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the Company will make all payments and deliveries in respect of the Fundamental Change Repurchase Price on the Fundamental Change Repurchase Date and the principal amount on the Maturity Date, as the case may be, to the Holder who surrenders a Security to a Paying Agent to collect such payments in respect of the Security. The Company will pay cash amounts in money of the United States that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Company and the Trustee in certain circumstances, without the consent of the Holders of the Securities, and in certain other circumstances, with the consent of the Holders of not less than a majority in aggregate principal amount of the Securities at the time outstanding, evidenced as in the Indenture provided, to execute supplemental indentures modifying the terms of the Indenture and the Securities as described therein. It is also provided in the Indenture that, subject to certain exceptions, the Holders of a majority in aggregate principal amount of the Securities at the time outstanding may on behalf of the Holders of all of the Securities waive any past Default or Event of Default under the Indenture and its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shall have the right to receive payment or delivery, as the case may be, of (x) the principal (including the Fundamental Change Repurchase Price, if applicable) of, (y) accrued and unpaid interest, if any, on, and (z) the consideration due upon conversion of, this Security at the place, at the respective times, at the rate and in the lawful money or shares of Common Stock, as the case may be,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issuable in registered form without coupons in denominations of $1,000 principal amount and integral multiples thereof. At the office or agency of the Company referred to on the face hereof, and in the manner and subject to the limitations provided in the Indenture, Securities may be exchanged for a like aggregate principal amount of Securities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Securities issued upon such exchange of Securities being different from the name of the Holder of the old Securities surrendered for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not subject to redemption through the operation of any sinking fund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Fundamental Change, the Holder has the right, at such Holder’s option, to require the Company to repurchase for cash all of such Holder’s Securities or any portion thereof (in principal amounts of $1,000 or integral multiples thereof) on the Fundamental Change Repurchase Date at a price equal to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Securities or portion thereof that is $1,000 or a multiple thereof, into cash, and, if applicable, shares of Common Stock, at the Conversion Rate specified in the Indenture, as adjusted from time to time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of the face of this Security,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 =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 TEN = joint tenants with right of survivorship and not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r>
        <w:rPr>
          <w:rFonts w:ascii="Times New Roman;Times;Serif" w:hAnsi="Times New Roman;Times;Serif"/>
          <w:b/>
          <w:i w:val="false"/>
          <w:caps w:val="false"/>
          <w:smallCaps w:val="false"/>
          <w:position w:val="7"/>
          <w:sz w:val="16"/>
          <w:sz w:val="2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ARBOR REALTY TRUST, INC.</w:t>
        <w:br/>
        <w:t>6.25% Convertible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Security is _______ DOLLARS ($[_________]). The following increases or decreases in this Global Security have been made:</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445"/>
        <w:gridCol w:w="60"/>
        <w:gridCol w:w="1415"/>
        <w:gridCol w:w="60"/>
        <w:gridCol w:w="1415"/>
        <w:gridCol w:w="60"/>
        <w:gridCol w:w="1580"/>
        <w:gridCol w:w="60"/>
        <w:gridCol w:w="1055"/>
      </w:tblGrid>
      <w:tr>
        <w:trPr/>
        <w:tc>
          <w:tcPr>
            <w:tcW w:w="14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of </w:t>
              <w:br/>
              <w:t xml:space="preserve">decrease in </w:t>
              <w:br/>
              <w:t>principal amount</w:t>
              <w:br/>
              <w:t xml:space="preserve">of this Global </w:t>
              <w:br/>
              <w:t>Security</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of </w:t>
              <w:br/>
              <w:t xml:space="preserve">increase in </w:t>
              <w:br/>
              <w:t>principal amount</w:t>
              <w:br/>
              <w:t xml:space="preserve">of this Global </w:t>
              <w:br/>
              <w:t>Security</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of this Global</w:t>
              <w:br/>
              <w:t xml:space="preserve">Security following </w:t>
              <w:br/>
              <w:t xml:space="preserve">such decrease or </w:t>
              <w:br/>
              <w:t>increase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w:t>
              <w:br/>
              <w:t xml:space="preserve">signatory of </w:t>
              <w:br/>
              <w:t xml:space="preserve">Trustee or </w:t>
              <w:br/>
              <w:t>Custodian</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ARBOR REALTY TRUST, INC.</w:t>
        <w:br/>
        <w:t>6.25% Convertible Senior Notes due 2029</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0"/>
        <w:gridCol w:w="393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 Livingston Avenue</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Mailcode: EP-MN-WS3C</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Paul, MN 55107</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Global Corporate Trust Services —</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Administrator for Arbor Realty Trust,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Security hereby exercises the option to convert this Security, or the portion hereof (that is $1,000 principal amount or a multiple thereof) below designated, into cash, and if applicable, shares of Common Stock, in accordance with the terms of the Indenture referred to in this Security, and directs that any cash payable and any shares of Common Stock issuable and deliverable upon such conversion, together with any cash for any fractional share, and any Securities representing any unconverted principal amount hereof, be issued and delivered to the registered Holder hereof unless a different name has been indicated below. If any shares of Common Stock or any portion of this Security not converted are to be issued in the name of a Person other than the undersigned, the undersigned will pay all documentary, stamp or similar issue or transfer taxes, if any in accordance with Section 14.02(g) of the Indenture. Any amount required to be paid to the undersigned on account of interest accompanies this Security.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575"/>
        <w:gridCol w:w="60"/>
        <w:gridCol w:w="60"/>
        <w:gridCol w:w="1175"/>
      </w:tblGrid>
      <w:tr>
        <w:trPr/>
        <w:tc>
          <w:tcPr>
            <w:tcW w:w="575" w:type="dxa"/>
            <w:tcBorders/>
            <w:vAlign w:val="center"/>
          </w:tcPr>
          <w:p>
            <w:pPr>
              <w:pStyle w:val="TableContents"/>
              <w:bidi w:val="0"/>
              <w:spacing w:before="0" w:after="283"/>
              <w:jc w:val="left"/>
              <w:rPr>
                <w:sz w:val="20"/>
              </w:rPr>
            </w:pPr>
            <w:r>
              <w:rPr>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both"/>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3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both"/>
              <w:rPr/>
            </w:pPr>
            <w:r>
              <w:rPr/>
              <w:t>Signature(s)</w:t>
            </w:r>
          </w:p>
        </w:tc>
      </w:tr>
    </w:tbl>
    <w:p>
      <w:pPr>
        <w:pStyle w:val="TextBody"/>
        <w:bidi w:val="0"/>
        <w:spacing w:before="0" w:after="0"/>
        <w:ind w:left="0" w:right="0" w:hanging="0"/>
        <w:jc w:val="left"/>
        <w:rPr>
          <w:caps w:val="false"/>
          <w:smallCaps w:val="false"/>
        </w:rPr>
      </w:pPr>
      <w:r>
        <w:rPr>
          <w:caps w:val="false"/>
          <w:smallCaps w:val="false"/>
        </w:rPr>
        <w:t> </w:t>
      </w:r>
    </w:p>
    <w:tbl>
      <w:tblPr>
        <w:tblW w:w="2105" w:type="dxa"/>
        <w:jc w:val="left"/>
        <w:tblInd w:w="0" w:type="dxa"/>
        <w:tblLayout w:type="fixed"/>
        <w:tblCellMar>
          <w:top w:w="0" w:type="dxa"/>
          <w:left w:w="0" w:type="dxa"/>
          <w:bottom w:w="28" w:type="dxa"/>
          <w:right w:w="0" w:type="dxa"/>
        </w:tblCellMar>
      </w:tblPr>
      <w:tblGrid>
        <w:gridCol w:w="1970"/>
        <w:gridCol w:w="60"/>
        <w:gridCol w:w="75"/>
      </w:tblGrid>
      <w:tr>
        <w:trPr/>
        <w:tc>
          <w:tcPr>
            <w:tcW w:w="197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left"/>
              <w:rPr/>
            </w:pPr>
            <w:r>
              <w:rPr/>
              <w:t>Signature Guarantee</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w:t>
        <w:br/>
        <w:t>by an eligible Guarantor Institution</w:t>
        <w:br/>
        <w:t>(banks, stock brokers, savings and</w:t>
        <w:br/>
        <w:t>loan associations and credit unions)</w:t>
        <w:br/>
        <w:t>with membership in an approved</w:t>
        <w:br/>
        <w:t>signature guarantee medallion program</w:t>
        <w:br/>
        <w:t>pursuant to Securities and Exchange</w:t>
        <w:br/>
        <w:t>Commission Rule 17Ad-15 if shares</w:t>
        <w:br/>
        <w:t>of Common Stock are to be issued, or</w:t>
        <w:br/>
        <w:t>Securities are to be delivered, other than</w:t>
        <w:br/>
        <w:t>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shares if</w:t>
        <w:br/>
        <w:t>to be issued, and Securities if to</w:t>
        <w:br/>
        <w:t>be delivered, other than to and in the</w:t>
        <w:br/>
        <w:t>name of the registered holder:</w:t>
      </w:r>
    </w:p>
    <w:p>
      <w:pPr>
        <w:pStyle w:val="TextBody"/>
        <w:bidi w:val="0"/>
        <w:spacing w:before="0" w:after="0"/>
        <w:ind w:left="0" w:right="0" w:hanging="0"/>
        <w:jc w:val="left"/>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2450"/>
        <w:gridCol w:w="75"/>
      </w:tblGrid>
      <w:tr>
        <w:trPr/>
        <w:tc>
          <w:tcPr>
            <w:tcW w:w="24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(Street Address)</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 State and Zip Code)</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name and address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94"/>
        <w:gridCol w:w="5636"/>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to be converted (if less than all): $______,000</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Security in every particular without alteration or enlargement or any change whatever.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94" w:type="dxa"/>
            <w:tcBorders>
              <w:bottom w:val="single" w:sz="8" w:space="0" w:color="000000"/>
            </w:tcBorders>
            <w:tcMar>
              <w:bottom w:w="28" w:type="dxa"/>
            </w:tcMar>
            <w:vAlign w:val="center"/>
          </w:tcPr>
          <w:p>
            <w:pPr>
              <w:pStyle w:val="TableContents"/>
              <w:bidi w:val="0"/>
              <w:spacing w:before="0" w:after="283"/>
              <w:jc w:val="left"/>
              <w:rPr/>
            </w:pPr>
            <w:r>
              <w:rPr/>
              <w:t> </w:t>
            </w:r>
          </w:p>
        </w:tc>
        <w:tc>
          <w:tcPr>
            <w:tcW w:w="56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or Other Taxpayer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FUNDAMENTAL CHANGE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ARBOR REALTY TRUST, INC.</w:t>
        <w:br/>
        <w:t>6.25% Convertible Senior Notes due 2029</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0"/>
        <w:gridCol w:w="393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 Livingston Avenue</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Mailcode: EP-MN-WS3C</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Paul, MN 55107</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Global Corporate Trust Services —</w:t>
            </w:r>
          </w:p>
        </w:tc>
      </w:tr>
      <w:tr>
        <w:trPr/>
        <w:tc>
          <w:tcPr>
            <w:tcW w:w="32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Administrator for Arbor Realty Trust,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Security hereby acknowledges receipt of a notice from Arbor Realty Trust,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Security (1) the entire principal amount of this Security,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Securities, the certificate numbers of the Securities to be repurchased are as set forth below:</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575"/>
        <w:gridCol w:w="60"/>
        <w:gridCol w:w="60"/>
        <w:gridCol w:w="1175"/>
      </w:tblGrid>
      <w:tr>
        <w:trPr/>
        <w:tc>
          <w:tcPr>
            <w:tcW w:w="575" w:type="dxa"/>
            <w:tcBorders/>
            <w:vAlign w:val="center"/>
          </w:tcPr>
          <w:p>
            <w:pPr>
              <w:pStyle w:val="TableContents"/>
              <w:bidi w:val="0"/>
              <w:spacing w:before="0" w:after="283"/>
              <w:jc w:val="left"/>
              <w:rPr>
                <w:sz w:val="20"/>
              </w:rPr>
            </w:pPr>
            <w:r>
              <w:rPr>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both"/>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both"/>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3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both"/>
              <w:rPr/>
            </w:pPr>
            <w:r>
              <w:rPr/>
              <w:t>Signature(s)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96"/>
        <w:gridCol w:w="5534"/>
      </w:tblGrid>
      <w:tr>
        <w:trPr/>
        <w:tc>
          <w:tcPr>
            <w:tcW w:w="75" w:type="dxa"/>
            <w:tcBorders/>
            <w:vAlign w:val="center"/>
          </w:tcPr>
          <w:p>
            <w:pPr>
              <w:pStyle w:val="TableContents"/>
              <w:bidi w:val="0"/>
              <w:spacing w:before="0" w:after="283"/>
              <w:jc w:val="left"/>
              <w:rPr/>
            </w:pPr>
            <w:r>
              <w:rPr/>
              <w:t> </w:t>
            </w:r>
          </w:p>
        </w:tc>
        <w:tc>
          <w:tcPr>
            <w:tcW w:w="4596" w:type="dxa"/>
            <w:tcBorders>
              <w:bottom w:val="single" w:sz="8" w:space="0" w:color="000000"/>
            </w:tcBorders>
            <w:tcMar>
              <w:bottom w:w="28" w:type="dxa"/>
            </w:tcMar>
            <w:vAlign w:val="center"/>
          </w:tcPr>
          <w:p>
            <w:pPr>
              <w:pStyle w:val="TableContents"/>
              <w:bidi w:val="0"/>
              <w:spacing w:before="0" w:after="283"/>
              <w:jc w:val="left"/>
              <w:rPr/>
            </w:pPr>
            <w:r>
              <w:rPr/>
              <w:t> </w:t>
            </w:r>
          </w:p>
        </w:tc>
        <w:tc>
          <w:tcPr>
            <w:tcW w:w="55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or Other Taxpayer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Number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to be repaid (if less than all): $______,000</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Security in every particular without alteration or enlargement or any change whatever.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____________________________ hereby sell(s), assign(s) and transfer(s) unto _________________ (Please insert social security or Taxpayer Identification Number of assignee) the within Security, and hereby irrevocably constitutes and appoints _____________________ attorney to transfer the said Security on the books of the Company,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the within Security occurring prior to the Resale Restriction Termination Date, as defined in the Indenture governing such Security, the undersigned confirms that such Security is being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     To Arbor Realty Trust, Inc. or a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     Pursuant to a registration statement that has become or been declared effective under the Securities Act of 1933, as amended;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     Pursuant to and in compliance with Rule 144A under the Securities Act of 1933, as amended;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     Pursuant to and in compliance with Rule 144 under the Securities Act of 1933, as amended, or any other available exemption from the registration requirements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09" w:type="dxa"/>
        <w:jc w:val="left"/>
        <w:tblInd w:w="0" w:type="dxa"/>
        <w:tblLayout w:type="fixed"/>
        <w:tblCellMar>
          <w:top w:w="0" w:type="dxa"/>
          <w:left w:w="0" w:type="dxa"/>
          <w:bottom w:w="0" w:type="dxa"/>
          <w:right w:w="0" w:type="dxa"/>
        </w:tblCellMar>
      </w:tblPr>
      <w:tblGrid>
        <w:gridCol w:w="1051"/>
        <w:gridCol w:w="123"/>
        <w:gridCol w:w="60"/>
        <w:gridCol w:w="75"/>
      </w:tblGrid>
      <w:tr>
        <w:trPr/>
        <w:tc>
          <w:tcPr>
            <w:tcW w:w="1051" w:type="dxa"/>
            <w:tcBorders/>
            <w:vAlign w:val="center"/>
          </w:tcPr>
          <w:p>
            <w:pPr>
              <w:pStyle w:val="TableContents"/>
              <w:bidi w:val="0"/>
              <w:spacing w:before="0" w:after="283"/>
              <w:jc w:val="left"/>
              <w:rPr>
                <w:sz w:val="20"/>
              </w:rPr>
            </w:pPr>
            <w:r>
              <w:rPr>
                <w:sz w:val="20"/>
              </w:rPr>
              <w:t>Dated:</w:t>
            </w:r>
          </w:p>
        </w:tc>
        <w:tc>
          <w:tcPr>
            <w:tcW w:w="12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17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17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174" w:type="dxa"/>
            <w:gridSpan w:val="2"/>
            <w:tcBorders/>
            <w:vAlign w:val="center"/>
          </w:tcPr>
          <w:p>
            <w:pPr>
              <w:pStyle w:val="TableContents"/>
              <w:bidi w:val="0"/>
              <w:spacing w:before="0" w:after="283"/>
              <w:jc w:val="left"/>
              <w:rPr/>
            </w:pPr>
            <w:r>
              <w:rPr/>
              <w:t>Signature(s)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05" w:type="dxa"/>
        <w:jc w:val="left"/>
        <w:tblInd w:w="0" w:type="dxa"/>
        <w:tblLayout w:type="fixed"/>
        <w:tblCellMar>
          <w:top w:w="0" w:type="dxa"/>
          <w:left w:w="0" w:type="dxa"/>
          <w:bottom w:w="28" w:type="dxa"/>
          <w:right w:w="0" w:type="dxa"/>
        </w:tblCellMar>
      </w:tblPr>
      <w:tblGrid>
        <w:gridCol w:w="1970"/>
        <w:gridCol w:w="60"/>
        <w:gridCol w:w="75"/>
      </w:tblGrid>
      <w:tr>
        <w:trPr/>
        <w:tc>
          <w:tcPr>
            <w:tcW w:w="197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left"/>
              <w:rPr/>
            </w:pPr>
            <w:r>
              <w:rPr/>
              <w:t>Signature Guarantee</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w:t>
        <w:br/>
        <w:t>eligible Guarantor Institution (banks, stock</w:t>
        <w:br/>
        <w:t>brokers, savings and loan associations and</w:t>
        <w:br/>
        <w:t>credit unions) with membership in an approved</w:t>
        <w:br/>
        <w:t>signature guarantee medallion program pursuant</w:t>
        <w:br/>
        <w:t>to Securities and Exchange Commission</w:t>
        <w:br/>
        <w:t>Rule 17Ad-15 if Securities are to be delivered, other</w:t>
        <w:br/>
        <w:t>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on the assignment must correspond with the name as written upon the face of the Security in every particular without alteration or enlargement or any change whatever.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5" w:name="tm2619809d1_ex10-1.htm"/>
      <w:bookmarkStart w:id="36" w:name="kstm2619809d1_ex101"/>
      <w:bookmarkEnd w:id="35"/>
      <w:bookmarkEnd w:id="36"/>
      <w:r>
        <w:rPr/>
        <w:t> </w:t>
      </w:r>
      <w:r>
        <w:br w:type="page"/>
      </w:r>
    </w:p>
    <w:p>
      <w:pPr>
        <w:pStyle w:val="TextBody"/>
        <w:bidi w:val="0"/>
        <w:jc w:val="right"/>
        <w:rPr>
          <w:b/>
        </w:rPr>
      </w:pPr>
      <w:r>
        <w:rPr>
          <w:b/>
        </w:rPr>
        <w:t>Exhibit 10.1</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680"/>
        <w:gridCol w:w="3530"/>
      </w:tblGrid>
      <w:tr>
        <w:trPr/>
        <w:tc>
          <w:tcPr>
            <w:tcW w:w="6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530" w:type="dxa"/>
            <w:tcBorders/>
            <w:vAlign w:val="center"/>
          </w:tcPr>
          <w:p>
            <w:pPr>
              <w:pStyle w:val="TableContents"/>
              <w:bidi w:val="0"/>
              <w:spacing w:before="0" w:after="283"/>
              <w:jc w:val="left"/>
              <w:rPr/>
            </w:pPr>
            <w:r>
              <w:rPr/>
              <w:t>Arbor Realty Trust, Inc.</w:t>
            </w:r>
          </w:p>
        </w:tc>
      </w:tr>
      <w:tr>
        <w:trPr/>
        <w:tc>
          <w:tcPr>
            <w:tcW w:w="68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xml:space="preserve">333 Earle Ovington Boulevard </w:t>
              <w:br/>
              <w:t xml:space="preserve">Suite 900 </w:t>
              <w:br/>
              <w:t xml:space="preserve">Uniondale, NY </w:t>
              <w:br/>
              <w:t>Telephone No.: (516) 506-4200</w:t>
            </w:r>
          </w:p>
        </w:tc>
      </w:tr>
      <w:tr>
        <w:trPr/>
        <w:tc>
          <w:tcPr>
            <w:tcW w:w="68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b/>
              </w:rPr>
            </w:pPr>
            <w:r>
              <w:rPr>
                <w:b/>
              </w:rPr>
              <w:t>From:</w:t>
            </w:r>
          </w:p>
        </w:tc>
        <w:tc>
          <w:tcPr>
            <w:tcW w:w="3530" w:type="dxa"/>
            <w:tcBorders/>
            <w:vAlign w:val="center"/>
          </w:tcPr>
          <w:p>
            <w:pPr>
              <w:pStyle w:val="TableContents"/>
              <w:bidi w:val="0"/>
              <w:spacing w:before="0" w:after="283"/>
              <w:jc w:val="left"/>
              <w:rPr/>
            </w:pPr>
            <w:r>
              <w:rPr/>
              <w:t>[DEALER]</w:t>
            </w:r>
          </w:p>
        </w:tc>
      </w:tr>
      <w:tr>
        <w:trPr/>
        <w:tc>
          <w:tcPr>
            <w:tcW w:w="68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b/>
              </w:rPr>
            </w:pPr>
            <w:r>
              <w:rPr>
                <w:b/>
              </w:rPr>
              <w:t>Re:</w:t>
            </w:r>
          </w:p>
        </w:tc>
        <w:tc>
          <w:tcPr>
            <w:tcW w:w="3530" w:type="dxa"/>
            <w:tcBorders/>
            <w:vAlign w:val="center"/>
          </w:tcPr>
          <w:p>
            <w:pPr>
              <w:pStyle w:val="TableContents"/>
              <w:bidi w:val="0"/>
              <w:spacing w:before="0" w:after="283"/>
              <w:jc w:val="left"/>
              <w:rPr/>
            </w:pPr>
            <w:r>
              <w:rPr/>
              <w:t>Forward Stock Purchase Transaction</w:t>
            </w:r>
          </w:p>
        </w:tc>
      </w:tr>
      <w:tr>
        <w:trPr/>
        <w:tc>
          <w:tcPr>
            <w:tcW w:w="68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680" w:type="dxa"/>
            <w:tcBorders>
              <w:bottom w:val="single" w:sz="8" w:space="0" w:color="000000"/>
            </w:tcBorders>
            <w:tcMar>
              <w:bottom w:w="120" w:type="dxa"/>
            </w:tcMar>
            <w:vAlign w:val="center"/>
          </w:tcPr>
          <w:p>
            <w:pPr>
              <w:pStyle w:val="TableContents"/>
              <w:bidi w:val="0"/>
              <w:spacing w:before="0" w:after="283"/>
              <w:jc w:val="left"/>
              <w:rPr>
                <w:b/>
              </w:rPr>
            </w:pPr>
            <w:r>
              <w:rPr>
                <w:b/>
              </w:rPr>
              <w:t>Date:</w:t>
            </w:r>
          </w:p>
        </w:tc>
        <w:tc>
          <w:tcPr>
            <w:tcW w:w="3530" w:type="dxa"/>
            <w:tcBorders>
              <w:bottom w:val="single" w:sz="8" w:space="0" w:color="000000"/>
            </w:tcBorders>
            <w:tcMar>
              <w:bottom w:w="120" w:type="dxa"/>
            </w:tcMar>
            <w:vAlign w:val="center"/>
          </w:tcPr>
          <w:p>
            <w:pPr>
              <w:pStyle w:val="TableContents"/>
              <w:bidi w:val="0"/>
              <w:spacing w:before="0" w:after="283"/>
              <w:jc w:val="left"/>
              <w:rPr/>
            </w:pPr>
            <w:r>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letter agreement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confirm the terms and conditions of the transaction entered into between [DEALER]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Arbor Realty Trust,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This letter agreement constitutes a “Confirmation” as referred to in the ISDA Master Agreement specified below. Each party further agrees that this Confirmation together with the Master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and provisions contained in the 2006 ISDA Definitions (the “</w:t>
      </w:r>
      <w:r>
        <w:rPr>
          <w:rFonts w:ascii="Times New Roman;Times;Serif" w:hAnsi="Times New Roman;Times;Serif"/>
          <w:b/>
          <w:i w:val="false"/>
          <w:caps w:val="false"/>
          <w:smallCaps w:val="false"/>
          <w:sz w:val="20"/>
        </w:rPr>
        <w:t>Swap Definitions</w:t>
      </w:r>
      <w:r>
        <w:rPr>
          <w:rFonts w:ascii="Times New Roman;Times;Serif" w:hAnsi="Times New Roman;Times;Serif"/>
          <w:b w:val="false"/>
          <w:i w:val="false"/>
          <w:caps w:val="false"/>
          <w:smallCaps w:val="false"/>
          <w:sz w:val="20"/>
        </w:rPr>
        <w:t>”) and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Swap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are incorporated into this Confirmation. In the event of any inconsistency between the Swap Definitions and the Equity Definitions, the Equity Definitions shall govern and in the event of any inconsistency between the Definitions and this Confirmation, this Confirmation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evidences a complete binding agreement between Counterparty and Dealer as to the terms of the Transaction to which this Confirmation relates. This Confirmation (notwithstanding anything to the contrary herein) shall be subject to an agreement in the form of the 2002 ISDA Master Agreement (the “</w:t>
      </w:r>
      <w:r>
        <w:rPr>
          <w:rFonts w:ascii="Times New Roman;Times;Serif" w:hAnsi="Times New Roman;Times;Serif"/>
          <w:b/>
          <w:i w:val="false"/>
          <w:caps w:val="false"/>
          <w:smallCaps w:val="false"/>
          <w:sz w:val="20"/>
        </w:rPr>
        <w:t>Master Agreement</w:t>
      </w:r>
      <w:r>
        <w:rPr>
          <w:rFonts w:ascii="Times New Roman;Times;Serif" w:hAnsi="Times New Roman;Times;Serif"/>
          <w:b w:val="false"/>
          <w:i w:val="false"/>
          <w:caps w:val="false"/>
          <w:smallCaps w:val="false"/>
          <w:sz w:val="20"/>
        </w:rPr>
        <w:t>”) as if Dealer and Counterparty had executed an agreement in such form (but without any Schedule except for (a) the election of the laws of the State of New York as the governing law (without reference to choice of law doctrine) and (b) the election that the “Cross Default” provisions of Section 5(a)(vi) of the Master Agreement shall apply to Dealer with (i) a “Threshold Amount” of three percent of the shareholders’ equity of Dealer’s ultimate parent, (ii) “Specified Indebtedness” having the meaning set forth in Section 14 of the Master Agreement, except that it shall not include obligations in respect of deposits received in the ordinary course of Dealer’s banking business, (iii) the phrase “or becoming capable at such time of being declared” being deleted from clause (1) of such Section 5(a)(vi) of the Master Agreement and (iv) the following language being added to the end of Section 5(a)(vi) of the Master Agreement: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on the Trade Date. In the event of any inconsistency between the provisions of the Master Agreement and this Confirmation, this Confirmation will prevail for the purpose of the Transaction to which this Confirmation relates. The parties hereby agree that no transaction other than the Transaction to which this Confirmation relates shall be governed by the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constitutes a Share Forward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87"/>
        <w:gridCol w:w="9043"/>
      </w:tblGrid>
      <w:tr>
        <w:trPr/>
        <w:tc>
          <w:tcPr>
            <w:tcW w:w="116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Terms:</w:t>
            </w:r>
          </w:p>
        </w:tc>
        <w:tc>
          <w:tcPr>
            <w:tcW w:w="90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Date:</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2026</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 Date:</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2026, subject to cancellation of the Transaction as provided in Section 7(c) “Early Unwind” below.</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Seller:</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Buyer:</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Counterparty</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shares of common stock, $0.01 par value per share, of Counterparty (Ticker Symbol: “ABR”). </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Shares:</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Initially [•] Shares. On each Settlement Date, the Number of Shares shall be reduced by the Daily Number of Shares for such Settlement Date.  </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Daily Number of Shares:</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any Valuation Date occurring prior to the Maturity Date, the number of Shares specified by Dealer in the related Settlement Notice (as defined below under “Valuation Dates”), which shall not exceed the Number of Shares on such Valuation Date, and for the Valuation Date occurring on the Maturity Date, if any, the Number of Shares on such Valuation Date. </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Maturity Date:</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(or, if such date is not a Scheduled Trading Day, the next following Scheduled Trading Day)</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Forward Price:</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 Amount:</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 Date:</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Effective Date, so long as no cancellation of the Transaction has occurred as provided in Section 7(c) “Early Unwind.” </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Exchange:</w:t>
            </w:r>
          </w:p>
        </w:tc>
        <w:tc>
          <w:tcPr>
            <w:tcW w:w="9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New York Stock Exchange</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Related Exchange(s):</w:t>
            </w:r>
          </w:p>
        </w:tc>
        <w:tc>
          <w:tcPr>
            <w:tcW w:w="9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Exchanges</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w:t>
            </w:r>
          </w:p>
        </w:tc>
        <w:tc>
          <w:tcPr>
            <w:tcW w:w="90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Dealer;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following the occurrence and during the continuance of an Event of Default of the type described in Section 5(a)(vii) of the Agreement with respect to which Dealer is the sole Defaulting Party, Counterparty shall have the right to designate a nationally recognized third-party dealer in over-the-counter corporate equity derivatives to replace Dealer as the Calculation Agent, and the parties shall work in good faith to execute any appropriate documentation required by such replacement Calculation Agent.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calculations and determinations made by the Calculation Agent shall be made in good faith and in a commercially reasonable manner;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receipt of written request from Counterparty, the Calculation Agent shall promptly provide Counterparty with a written explanation (which may be by e-mail) describing in reasonable detail any calculation, adjustment or determination made by it (including any quotations, market data or information from internal or external sources used in making such calculation, adjustment or determination, as the case may be, but without disclosing Dealer’s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63"/>
        <w:gridCol w:w="9067"/>
      </w:tblGrid>
      <w:tr>
        <w:trPr/>
        <w:tc>
          <w:tcPr>
            <w:tcW w:w="113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Terms:</w:t>
            </w:r>
          </w:p>
        </w:tc>
        <w:tc>
          <w:tcPr>
            <w:tcW w:w="90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Physical Settlement:</w:t>
            </w:r>
          </w:p>
        </w:tc>
        <w:tc>
          <w:tcPr>
            <w:tcW w:w="90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In lieu of Section 9.2(a)(iii) of the Equity Definitions, Dealer will deliver to Counterparty the Daily Number of Shares for the related Valuation Date on the relevant Settlement Date.</w:t>
            </w:r>
          </w:p>
        </w:tc>
      </w:tr>
      <w:tr>
        <w:trPr/>
        <w:tc>
          <w:tcPr>
            <w:tcW w:w="75"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Valuation Dates:</w:t>
            </w:r>
          </w:p>
        </w:tc>
        <w:tc>
          <w:tcPr>
            <w:tcW w:w="90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Any Scheduled Trading Day following the Effective Date designated by Dealer in a written notice (a “</w:t>
            </w:r>
            <w:r>
              <w:rPr>
                <w:rFonts w:ascii="Times New Roman;Times;Serif" w:hAnsi="Times New Roman;Times;Serif"/>
                <w:b/>
                <w:sz w:val="20"/>
              </w:rPr>
              <w:t>Settlement Notice</w:t>
            </w:r>
            <w:r>
              <w:rPr>
                <w:rFonts w:ascii="Times New Roman;Times;Serif" w:hAnsi="Times New Roman;Times;Serif"/>
                <w:sz w:val="20"/>
              </w:rPr>
              <w:t>”) that is delivered to Counterparty at least one Scheduled Trading Day prior to such Valuation Date, specifying (i) the Daily Number of Shares for each such Valuation Date and (ii) the related Settlement Date(s) and (b) the Maturity Date.</w:t>
            </w:r>
          </w:p>
        </w:tc>
      </w:tr>
      <w:tr>
        <w:trPr/>
        <w:tc>
          <w:tcPr>
            <w:tcW w:w="75"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Disruption Event:</w:t>
            </w:r>
          </w:p>
        </w:tc>
        <w:tc>
          <w:tcPr>
            <w:tcW w:w="90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“Market Disruption Event” in Section 6.3(a) of the Equity Definitions is hereby amended (A) by deleting the words “at any time during the one hour period that ends at the relevant Valuation Time, Latest Exercise Time, Knock-in Valuation Time or Knock-out Valuation Time, as the case may be” and inserting the words “at any time on any Valuation Date” after the word “material,” in the third line thereof, and (B) by replacing the words “or (iii) an Early Closure.” therein with “(iii) an Early Closure, or (iv) a Regulatory Disruption.”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6.3(d) of the Equity Definitions is hereby amended by deleting the remainder of the provision following the term “Scheduled Closing Time” in the fourth line thereof.</w:t>
            </w:r>
          </w:p>
        </w:tc>
      </w:tr>
      <w:tr>
        <w:trPr/>
        <w:tc>
          <w:tcPr>
            <w:tcW w:w="75"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Disruption:</w:t>
            </w:r>
          </w:p>
        </w:tc>
        <w:tc>
          <w:tcPr>
            <w:tcW w:w="90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event that Dealer, in its reasonable discretion and in good faith, determines makes it advisable with regard to any legal, regulatory or self-regulatory requirements or related policies and procedures applicable to Dealer (whether or not such requirements, policies or procedures are imposed by law or have been voluntarily adopted by Dealer; </w:t>
            </w:r>
            <w:r>
              <w:rPr>
                <w:rFonts w:ascii="Times New Roman;Times;Serif" w:hAnsi="Times New Roman;Times;Serif"/>
                <w:i/>
                <w:sz w:val="20"/>
              </w:rPr>
              <w:t>provided</w:t>
            </w:r>
            <w:r>
              <w:rPr>
                <w:rFonts w:ascii="Times New Roman;Times;Serif" w:hAnsi="Times New Roman;Times;Serif"/>
                <w:sz w:val="20"/>
              </w:rPr>
              <w:t xml:space="preserve"> that such policies and procedures have been adopted by Dealer in good faith and are generally applicable in similar situations and applied in a non-discriminatory manner), including any requirements, policies or procedures relating to Dealer’s hedging activities hereunder, to refrain from or decrease any market activity in connection with the Transaction;. Dealer shall notify Counterparty as soon as reasonably practicable that a Regulatory Disruption has occurred and the Valuation Dates affected by it.</w:t>
            </w:r>
          </w:p>
        </w:tc>
      </w:tr>
      <w:tr>
        <w:trPr/>
        <w:tc>
          <w:tcPr>
            <w:tcW w:w="113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w:t>
            </w:r>
          </w:p>
        </w:tc>
        <w:tc>
          <w:tcPr>
            <w:tcW w:w="90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 Payment:</w:t>
            </w:r>
          </w:p>
        </w:tc>
        <w:tc>
          <w:tcPr>
            <w:tcW w:w="90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lieu of Section 9.2(a)(iii) of the Equity Definitions, Dealer will pay to Counterparty the Dividend Amount on the second Currency Business Day immediately following the Dividend Payment Date.</w:t>
            </w:r>
          </w:p>
        </w:tc>
      </w:tr>
      <w:tr>
        <w:trPr/>
        <w:tc>
          <w:tcPr>
            <w:tcW w:w="75"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 Amount:</w:t>
            </w:r>
          </w:p>
        </w:tc>
        <w:tc>
          <w:tcPr>
            <w:tcW w:w="90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100% of the per Share amount (net of any taxes payable by Dealer (including, without limitation, any withholding, including for avoidance of doubt backup withholding, that Dealer deems necessary or prudent with respect thereto)) of any cash dividend or distribution declared by the Issuer to holders of record of a Share on any record date occurring during the period from, and including, the Effective Date to, but excluding, the final Settlement Date, </w:t>
            </w:r>
            <w:r>
              <w:rPr>
                <w:rFonts w:ascii="Times New Roman;Times;Serif" w:hAnsi="Times New Roman;Times;Serif"/>
                <w:i/>
                <w:sz w:val="20"/>
              </w:rPr>
              <w:t>multiplied by</w:t>
            </w:r>
            <w:r>
              <w:rPr>
                <w:rFonts w:ascii="Times New Roman;Times;Serif" w:hAnsi="Times New Roman;Times;Serif"/>
                <w:sz w:val="20"/>
              </w:rPr>
              <w:t xml:space="preserve"> (b) the Number of Shares on such record date (after giving effect to any reduction on such record date, if such record date is a Settlement Date).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9"/>
        <w:gridCol w:w="1814"/>
        <w:gridCol w:w="8312"/>
      </w:tblGrid>
      <w:tr>
        <w:trPr/>
        <w:tc>
          <w:tcPr>
            <w:tcW w:w="79"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 Payment Date:</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date on which the relevant Dividend Amount is paid by the Issuer to shareholders of record.</w:t>
            </w:r>
          </w:p>
        </w:tc>
      </w:tr>
      <w:tr>
        <w:trPr/>
        <w:tc>
          <w:tcPr>
            <w:tcW w:w="189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Adjustments:</w:t>
            </w:r>
          </w:p>
        </w:tc>
        <w:tc>
          <w:tcPr>
            <w:tcW w:w="8312" w:type="dxa"/>
            <w:tcBorders/>
            <w:vAlign w:val="center"/>
          </w:tcPr>
          <w:p>
            <w:pPr>
              <w:pStyle w:val="TableContents"/>
              <w:bidi w:val="0"/>
              <w:spacing w:before="0" w:after="283"/>
              <w:jc w:val="both"/>
              <w:rPr/>
            </w:pPr>
            <w:r>
              <w:rPr/>
              <w:t> </w:t>
            </w:r>
          </w:p>
        </w:tc>
      </w:tr>
      <w:tr>
        <w:trPr/>
        <w:tc>
          <w:tcPr>
            <w:tcW w:w="79"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Method of Adjustment:</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Calculation Agent Adjustment. For the avoidance of doubt, the payment of any cash dividend or distribution on the Shares shall not constitute a Potential Adjustment Event but instead shall be governed by the provisions set forth under the heading “Dividends” above. </w:t>
            </w:r>
          </w:p>
        </w:tc>
      </w:tr>
      <w:tr>
        <w:trPr/>
        <w:tc>
          <w:tcPr>
            <w:tcW w:w="189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Extraordinary Events:</w:t>
            </w:r>
          </w:p>
        </w:tc>
        <w:tc>
          <w:tcPr>
            <w:tcW w:w="8312" w:type="dxa"/>
            <w:tcBorders/>
            <w:vAlign w:val="center"/>
          </w:tcPr>
          <w:p>
            <w:pPr>
              <w:pStyle w:val="TableContents"/>
              <w:bidi w:val="0"/>
              <w:spacing w:before="0" w:after="283"/>
              <w:jc w:val="both"/>
              <w:rPr/>
            </w:pPr>
            <w:r>
              <w:rPr/>
              <w:t> </w:t>
            </w:r>
          </w:p>
        </w:tc>
      </w:tr>
      <w:tr>
        <w:trPr/>
        <w:tc>
          <w:tcPr>
            <w:tcW w:w="189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Shares:</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definition of New Shares in Section 12.1(i) of the Equity Definitions, the text in clause (i) shall be deleted in its entirety and replaced with “publicly quoted, traded or listed on any of the New York Stock Exchange, The Nasdaq Global Select Market or The Nasdaq Global Market (or their respective successors)”.</w:t>
            </w:r>
          </w:p>
        </w:tc>
      </w:tr>
      <w:tr>
        <w:trPr/>
        <w:tc>
          <w:tcPr>
            <w:tcW w:w="189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Merger Events:</w:t>
            </w:r>
          </w:p>
        </w:tc>
        <w:tc>
          <w:tcPr>
            <w:tcW w:w="8312" w:type="dxa"/>
            <w:tcBorders/>
            <w:vAlign w:val="center"/>
          </w:tcPr>
          <w:p>
            <w:pPr>
              <w:pStyle w:val="TableContents"/>
              <w:bidi w:val="0"/>
              <w:spacing w:before="0" w:after="283"/>
              <w:jc w:val="both"/>
              <w:rPr/>
            </w:pPr>
            <w:r>
              <w:rPr/>
              <w:t> </w:t>
            </w:r>
          </w:p>
        </w:tc>
      </w:tr>
      <w:tr>
        <w:trPr/>
        <w:tc>
          <w:tcPr>
            <w:tcW w:w="79"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Share-for-Share:</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w:t>
            </w:r>
          </w:p>
        </w:tc>
      </w:tr>
      <w:tr>
        <w:trPr/>
        <w:tc>
          <w:tcPr>
            <w:tcW w:w="79"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Share-for-Other:</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 or Cancellation and Payment, at the sole commercially reasonable election of Dealer</w:t>
            </w:r>
          </w:p>
        </w:tc>
      </w:tr>
      <w:tr>
        <w:trPr/>
        <w:tc>
          <w:tcPr>
            <w:tcW w:w="79"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Share-for-Combined:</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 or Cancellation and Payment, at the sole commercially reasonable election of Dealer</w:t>
            </w:r>
          </w:p>
        </w:tc>
      </w:tr>
      <w:tr>
        <w:trPr/>
        <w:tc>
          <w:tcPr>
            <w:tcW w:w="189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Tender Offers:</w:t>
            </w:r>
          </w:p>
        </w:tc>
        <w:tc>
          <w:tcPr>
            <w:tcW w:w="8312" w:type="dxa"/>
            <w:tcBorders/>
            <w:vAlign w:val="center"/>
          </w:tcPr>
          <w:p>
            <w:pPr>
              <w:pStyle w:val="TableContents"/>
              <w:bidi w:val="0"/>
              <w:spacing w:before="0" w:after="283"/>
              <w:jc w:val="both"/>
              <w:rPr/>
            </w:pPr>
            <w:r>
              <w:rPr/>
              <w:t> </w:t>
            </w:r>
          </w:p>
        </w:tc>
      </w:tr>
      <w:tr>
        <w:trPr/>
        <w:tc>
          <w:tcPr>
            <w:tcW w:w="79"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Share-for-Share:</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w:t>
            </w:r>
          </w:p>
        </w:tc>
      </w:tr>
      <w:tr>
        <w:trPr/>
        <w:tc>
          <w:tcPr>
            <w:tcW w:w="79"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Share-for-Other:</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w:t>
            </w:r>
          </w:p>
        </w:tc>
      </w:tr>
      <w:tr>
        <w:trPr/>
        <w:tc>
          <w:tcPr>
            <w:tcW w:w="79"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Share-for-Combined:</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w:t>
            </w:r>
          </w:p>
        </w:tc>
      </w:tr>
      <w:tr>
        <w:trPr/>
        <w:tc>
          <w:tcPr>
            <w:tcW w:w="189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 Agent Adjustment:</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organized under the laws of the United States, any State thereof or the District of Columbia and/or will not be the Issuer of the Shares then, then, in either case, Cancellation and Payment may apply at Dealer’s reasonable election.</w:t>
            </w:r>
          </w:p>
        </w:tc>
      </w:tr>
      <w:tr>
        <w:trPr/>
        <w:tc>
          <w:tcPr>
            <w:tcW w:w="189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Composition of Combined Consideration:</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189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Nationalization, Insolvency or Delisting:</w:t>
            </w:r>
          </w:p>
        </w:tc>
        <w:tc>
          <w:tcPr>
            <w:tcW w:w="8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w:t>
            </w:r>
            <w:r>
              <w:rPr>
                <w:rFonts w:ascii="Times New Roman;Times;Serif" w:hAnsi="Times New Roman;Times;Serif"/>
                <w:i/>
                <w:sz w:val="20"/>
              </w:rPr>
              <w:t>provided</w:t>
            </w:r>
            <w:r>
              <w:rPr>
                <w:rFonts w:ascii="Times New Roman;Times;Serif" w:hAnsi="Times New Roman;Times;Serif"/>
                <w:sz w:val="20"/>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  For purposes of this Confirmation (x) the phrase “will be cancelled” in the first line of Section 12.6(c)(ii) of the Equity Definitions shall be replaced with the phrase “may be cancelled by Dealer” and (y) the words “if so cancelled” shall be inserted immediately following the word “and” in the second line of Section 12.6(c)(ii) of the Equity Definitions.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96"/>
        <w:gridCol w:w="9034"/>
      </w:tblGrid>
      <w:tr>
        <w:trPr/>
        <w:tc>
          <w:tcPr>
            <w:tcW w:w="117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Disruption Events:</w:t>
            </w:r>
          </w:p>
        </w:tc>
        <w:tc>
          <w:tcPr>
            <w:tcW w:w="903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Law:</w:t>
            </w:r>
          </w:p>
        </w:tc>
        <w:tc>
          <w:tcPr>
            <w:tcW w:w="9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and adding the phrase “in the manner contemplated by the Hedging Party on the Trade Date” immediately following the word “Transaction” in such clause (X) and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Deliver:</w:t>
            </w:r>
          </w:p>
        </w:tc>
        <w:tc>
          <w:tcPr>
            <w:tcW w:w="9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Hedging Disruption:</w:t>
            </w:r>
          </w:p>
        </w:tc>
        <w:tc>
          <w:tcPr>
            <w:tcW w:w="90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525" w:right="0" w:hanging="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Section 12.9(a)(v) of the Equity Definitions is hereby amended by (a) inserting the following words at the end of clause (A) thereof: “in the manner contemplated by the Hedging Party on the Trade Date” and (b) inserting the following phrase in the end of such Section: “(for the avoidance of doubt, any such transactions or assets referred to in phrases (A) or (B) above must be available on commercially reasonable pricing terms)” and</w:t>
            </w:r>
          </w:p>
          <w:p>
            <w:pPr>
              <w:pStyle w:val="TableContents"/>
              <w:bidi w:val="0"/>
              <w:spacing w:before="0" w:after="0"/>
              <w:ind w:left="525" w:right="0" w:hanging="540"/>
              <w:jc w:val="both"/>
              <w:rPr>
                <w:caps w:val="false"/>
                <w:smallCaps w:val="false"/>
              </w:rPr>
            </w:pPr>
            <w:r>
              <w:rPr>
                <w:caps w:val="false"/>
                <w:smallCaps w:val="false"/>
              </w:rPr>
              <w:t> </w:t>
            </w:r>
          </w:p>
          <w:p>
            <w:pPr>
              <w:pStyle w:val="TableContents"/>
              <w:bidi w:val="0"/>
              <w:spacing w:before="0" w:after="0"/>
              <w:ind w:left="525" w:right="0" w:hanging="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 12.9(b)(iii) of the Equity Definitions is hereby amended by inserting in the third line thereof, after the words “to terminate the Transaction”, the words “or a portion of the Transaction affected by such Hedging Disruption”.</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Cost of Hedging:</w:t>
            </w:r>
          </w:p>
        </w:tc>
        <w:tc>
          <w:tcPr>
            <w:tcW w:w="9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for purposes of this Confirmation (x) the comma immediately preceding “(B)” in the seventh line of Section 12.9(b)(vi) of the Equity Definitions shall be replaced with the word “or”, (y) clause (C) of Section 12.9(b)(vi) of the Equity Definitions shall be deleted and (z) the words “either party” in the twelfth line of Section 12.9(b)(vi) of the Equity Definitions shall be replaced with the words “the Hedging Party”; and </w:t>
            </w:r>
            <w:r>
              <w:rPr>
                <w:rFonts w:ascii="Times New Roman;Times;Serif" w:hAnsi="Times New Roman;Times;Serif"/>
                <w:i/>
                <w:sz w:val="20"/>
              </w:rPr>
              <w:t>provided further</w:t>
            </w:r>
            <w:r>
              <w:rPr>
                <w:rFonts w:ascii="Times New Roman;Times;Serif" w:hAnsi="Times New Roman;Times;Serif"/>
                <w:sz w:val="20"/>
              </w:rPr>
              <w:t xml:space="preserve"> that such increased cost described in Section 12.9(a)(vi) of the Equity Definitions shall not constitute an “Increased Cost of Hedging” if such increased cost results solely from the deterioration of the Hedging Party’s creditworthiness or financial position. </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of Stock Borrow:</w:t>
            </w:r>
          </w:p>
        </w:tc>
        <w:tc>
          <w:tcPr>
            <w:tcW w:w="9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Cost of Stock Borrow:</w:t>
            </w:r>
          </w:p>
        </w:tc>
        <w:tc>
          <w:tcPr>
            <w:tcW w:w="9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Hedging Party:</w:t>
            </w:r>
          </w:p>
        </w:tc>
        <w:tc>
          <w:tcPr>
            <w:tcW w:w="9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all applicable Disruption Events, Dealer and any of its Affiliates.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5"/>
        <w:gridCol w:w="1996"/>
        <w:gridCol w:w="8114"/>
      </w:tblGrid>
      <w:tr>
        <w:trPr/>
        <w:tc>
          <w:tcPr>
            <w:tcW w:w="95"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Determining Party:</w:t>
            </w:r>
          </w:p>
        </w:tc>
        <w:tc>
          <w:tcPr>
            <w:tcW w:w="81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all applicable Extraordinary Events, Dealer.  </w:t>
            </w:r>
          </w:p>
        </w:tc>
      </w:tr>
      <w:tr>
        <w:trPr/>
        <w:tc>
          <w:tcPr>
            <w:tcW w:w="20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Non-Reliance:</w:t>
            </w:r>
          </w:p>
        </w:tc>
        <w:tc>
          <w:tcPr>
            <w:tcW w:w="81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20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Agreements and Acknowledgements Regarding Hedging Activities:</w:t>
            </w:r>
          </w:p>
        </w:tc>
        <w:tc>
          <w:tcPr>
            <w:tcW w:w="81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20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Acknowledgements:</w:t>
            </w:r>
          </w:p>
        </w:tc>
        <w:tc>
          <w:tcPr>
            <w:tcW w:w="81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20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 and Agreement:</w:t>
            </w:r>
          </w:p>
        </w:tc>
        <w:tc>
          <w:tcPr>
            <w:tcW w:w="81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(including, but not limited to, Section 9.11 thereof), the parties acknowledge that (i) any Shares delivered to Counterparty shall be, upon delivery, subject to restrictions and limitations arising from (x) Counterparty’s status as issuer of the Shares under applicable securities laws and (y) the charter of Issuer (as may be amended from time to time, the “</w:t>
            </w:r>
            <w:r>
              <w:rPr>
                <w:rFonts w:ascii="Times New Roman;Times;Serif" w:hAnsi="Times New Roman;Times;Serif"/>
                <w:b/>
                <w:sz w:val="20"/>
              </w:rPr>
              <w:t>Charter</w:t>
            </w:r>
            <w:r>
              <w:rPr>
                <w:rFonts w:ascii="Times New Roman;Times;Serif" w:hAnsi="Times New Roman;Times;Serif"/>
                <w:sz w:val="20"/>
              </w:rPr>
              <w:t>”),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Times;Serif" w:hAnsi="Times New Roman;Times;Serif"/>
                <w:b/>
                <w:sz w:val="20"/>
              </w:rPr>
              <w:t>Securities Act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Account Details: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572"/>
        <w:gridCol w:w="9477"/>
      </w:tblGrid>
      <w:tr>
        <w:trPr/>
        <w:tc>
          <w:tcPr>
            <w:tcW w:w="15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pPr>
            <w:r>
              <w:rPr/>
              <w:t>(a)</w:t>
            </w:r>
          </w:p>
        </w:tc>
        <w:tc>
          <w:tcPr>
            <w:tcW w:w="9477" w:type="dxa"/>
            <w:tcBorders/>
            <w:vAlign w:val="center"/>
          </w:tcPr>
          <w:p>
            <w:pPr>
              <w:pStyle w:val="TableContents"/>
              <w:bidi w:val="0"/>
              <w:spacing w:before="0" w:after="283"/>
              <w:jc w:val="both"/>
              <w:rPr/>
            </w:pPr>
            <w:r>
              <w:rPr/>
              <w:t>Account for payments to Counterparty:</w:t>
            </w:r>
          </w:p>
        </w:tc>
      </w:tr>
      <w:tr>
        <w:trPr/>
        <w:tc>
          <w:tcPr>
            <w:tcW w:w="156"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both"/>
              <w:rPr/>
            </w:pPr>
            <w:r>
              <w:rPr/>
              <w:t>To be provided by Counterparty.</w:t>
            </w:r>
          </w:p>
        </w:tc>
      </w:tr>
      <w:tr>
        <w:trPr/>
        <w:tc>
          <w:tcPr>
            <w:tcW w:w="156"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both"/>
              <w:rPr/>
            </w:pPr>
            <w:r>
              <w:rPr/>
              <w:t>Account for delivery of Shares to Counterparty:</w:t>
            </w:r>
          </w:p>
        </w:tc>
      </w:tr>
      <w:tr>
        <w:trPr/>
        <w:tc>
          <w:tcPr>
            <w:tcW w:w="156"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9477" w:type="dxa"/>
            <w:tcBorders/>
            <w:vAlign w:val="center"/>
          </w:tcPr>
          <w:p>
            <w:pPr>
              <w:pStyle w:val="TableContents"/>
              <w:bidi w:val="0"/>
              <w:spacing w:before="0" w:after="283"/>
              <w:jc w:val="both"/>
              <w:rPr/>
            </w:pPr>
            <w:r>
              <w:rPr/>
              <w:t>To be provided by Counterparty.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647"/>
        <w:gridCol w:w="9391"/>
      </w:tblGrid>
      <w:tr>
        <w:trPr/>
        <w:tc>
          <w:tcPr>
            <w:tcW w:w="16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pPr>
            <w:r>
              <w:rPr/>
              <w:t>(b)</w:t>
            </w:r>
          </w:p>
        </w:tc>
        <w:tc>
          <w:tcPr>
            <w:tcW w:w="9391" w:type="dxa"/>
            <w:tcBorders/>
            <w:vAlign w:val="center"/>
          </w:tcPr>
          <w:p>
            <w:pPr>
              <w:pStyle w:val="TableContents"/>
              <w:bidi w:val="0"/>
              <w:spacing w:before="0" w:after="283"/>
              <w:jc w:val="both"/>
              <w:rPr/>
            </w:pPr>
            <w:r>
              <w:rPr/>
              <w:t>Account for payments to Dealer:</w:t>
            </w:r>
          </w:p>
        </w:tc>
      </w:tr>
      <w:tr>
        <w:trPr/>
        <w:tc>
          <w:tcPr>
            <w:tcW w:w="167"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391" w:type="dxa"/>
            <w:tcBorders/>
            <w:vAlign w:val="center"/>
          </w:tcPr>
          <w:p>
            <w:pPr>
              <w:pStyle w:val="TableContents"/>
              <w:bidi w:val="0"/>
              <w:spacing w:before="0" w:after="283"/>
              <w:jc w:val="both"/>
              <w:rPr/>
            </w:pPr>
            <w:r>
              <w:rPr/>
              <w:t> </w:t>
            </w:r>
          </w:p>
        </w:tc>
      </w:tr>
      <w:tr>
        <w:trPr/>
        <w:tc>
          <w:tcPr>
            <w:tcW w:w="167"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391" w:type="dxa"/>
            <w:tcBorders/>
            <w:vAlign w:val="center"/>
          </w:tcPr>
          <w:p>
            <w:pPr>
              <w:pStyle w:val="TableContents"/>
              <w:bidi w:val="0"/>
              <w:spacing w:before="0" w:after="283"/>
              <w:jc w:val="both"/>
              <w:rPr/>
            </w:pPr>
            <w:r>
              <w:rPr/>
              <w:t>To be provided by Dealer.</w:t>
            </w:r>
          </w:p>
        </w:tc>
      </w:tr>
      <w:tr>
        <w:trPr/>
        <w:tc>
          <w:tcPr>
            <w:tcW w:w="167"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391" w:type="dxa"/>
            <w:tcBorders/>
            <w:vAlign w:val="center"/>
          </w:tcPr>
          <w:p>
            <w:pPr>
              <w:pStyle w:val="TableContents"/>
              <w:bidi w:val="0"/>
              <w:spacing w:before="0" w:after="283"/>
              <w:jc w:val="both"/>
              <w:rPr/>
            </w:pPr>
            <w:r>
              <w:rPr/>
              <w:t> </w:t>
            </w:r>
          </w:p>
        </w:tc>
      </w:tr>
      <w:tr>
        <w:trPr/>
        <w:tc>
          <w:tcPr>
            <w:tcW w:w="167"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391" w:type="dxa"/>
            <w:tcBorders/>
            <w:vAlign w:val="center"/>
          </w:tcPr>
          <w:p>
            <w:pPr>
              <w:pStyle w:val="TableContents"/>
              <w:bidi w:val="0"/>
              <w:spacing w:before="0" w:after="283"/>
              <w:jc w:val="both"/>
              <w:rPr/>
            </w:pPr>
            <w:r>
              <w:rPr/>
              <w:t>Account for delivery of Shares from Dealer:</w:t>
            </w:r>
          </w:p>
        </w:tc>
      </w:tr>
      <w:tr>
        <w:trPr/>
        <w:tc>
          <w:tcPr>
            <w:tcW w:w="167"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391" w:type="dxa"/>
            <w:tcBorders/>
            <w:vAlign w:val="center"/>
          </w:tcPr>
          <w:p>
            <w:pPr>
              <w:pStyle w:val="TableContents"/>
              <w:bidi w:val="0"/>
              <w:spacing w:before="0" w:after="283"/>
              <w:jc w:val="both"/>
              <w:rPr/>
            </w:pPr>
            <w:r>
              <w:rPr/>
              <w:t> </w:t>
            </w:r>
          </w:p>
        </w:tc>
      </w:tr>
      <w:tr>
        <w:trPr/>
        <w:tc>
          <w:tcPr>
            <w:tcW w:w="167"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391" w:type="dxa"/>
            <w:tcBorders/>
            <w:vAlign w:val="center"/>
          </w:tcPr>
          <w:p>
            <w:pPr>
              <w:pStyle w:val="TableContents"/>
              <w:bidi w:val="0"/>
              <w:spacing w:before="0" w:after="283"/>
              <w:jc w:val="both"/>
              <w:rPr/>
            </w:pPr>
            <w:r>
              <w:rPr/>
              <w:t>To be provided by Dealer.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Notices: For purposes of this Confirmation: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494"/>
        <w:gridCol w:w="9577"/>
      </w:tblGrid>
      <w:tr>
        <w:trPr/>
        <w:tc>
          <w:tcPr>
            <w:tcW w:w="13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(a)</w:t>
            </w:r>
          </w:p>
        </w:tc>
        <w:tc>
          <w:tcPr>
            <w:tcW w:w="9577" w:type="dxa"/>
            <w:tcBorders/>
            <w:vAlign w:val="center"/>
          </w:tcPr>
          <w:p>
            <w:pPr>
              <w:pStyle w:val="TableContents"/>
              <w:bidi w:val="0"/>
              <w:spacing w:before="0" w:after="283"/>
              <w:jc w:val="both"/>
              <w:rPr/>
            </w:pPr>
            <w:r>
              <w:rPr/>
              <w:t>Address for notices or communications to Counterparty:</w:t>
            </w:r>
          </w:p>
        </w:tc>
      </w:tr>
      <w:tr>
        <w:trPr/>
        <w:tc>
          <w:tcPr>
            <w:tcW w:w="134"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left"/>
              <w:rPr/>
            </w:pPr>
            <w:r>
              <w:rPr/>
              <w:t> </w:t>
            </w:r>
          </w:p>
        </w:tc>
        <w:tc>
          <w:tcPr>
            <w:tcW w:w="9577" w:type="dxa"/>
            <w:tcBorders/>
            <w:vAlign w:val="center"/>
          </w:tcPr>
          <w:p>
            <w:pPr>
              <w:pStyle w:val="TableContents"/>
              <w:bidi w:val="0"/>
              <w:spacing w:before="0" w:after="283"/>
              <w:jc w:val="both"/>
              <w:rPr/>
            </w:pPr>
            <w:r>
              <w:rPr/>
              <w:t> </w:t>
            </w:r>
          </w:p>
        </w:tc>
      </w:tr>
      <w:tr>
        <w:trPr/>
        <w:tc>
          <w:tcPr>
            <w:tcW w:w="134"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left"/>
              <w:rPr/>
            </w:pPr>
            <w:r>
              <w:rPr/>
              <w:t> </w:t>
            </w:r>
          </w:p>
        </w:tc>
        <w:tc>
          <w:tcPr>
            <w:tcW w:w="9577"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583"/>
        <w:gridCol w:w="9472"/>
      </w:tblGrid>
      <w:tr>
        <w:trPr/>
        <w:tc>
          <w:tcPr>
            <w:tcW w:w="15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pPr>
            <w:r>
              <w:rPr/>
              <w:t>(b)</w:t>
            </w:r>
          </w:p>
        </w:tc>
        <w:tc>
          <w:tcPr>
            <w:tcW w:w="9472" w:type="dxa"/>
            <w:tcBorders/>
            <w:vAlign w:val="center"/>
          </w:tcPr>
          <w:p>
            <w:pPr>
              <w:pStyle w:val="TableContents"/>
              <w:bidi w:val="0"/>
              <w:spacing w:before="0" w:after="283"/>
              <w:jc w:val="both"/>
              <w:rPr/>
            </w:pPr>
            <w:r>
              <w:rPr/>
              <w:t>Address for notices or communications to Dealer:</w:t>
            </w:r>
          </w:p>
        </w:tc>
      </w:tr>
      <w:tr>
        <w:trPr/>
        <w:tc>
          <w:tcPr>
            <w:tcW w:w="15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both"/>
              <w:rPr/>
            </w:pPr>
            <w:r>
              <w:rPr/>
              <w:t> </w:t>
            </w:r>
          </w:p>
        </w:tc>
      </w:tr>
      <w:tr>
        <w:trPr/>
        <w:tc>
          <w:tcPr>
            <w:tcW w:w="15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Representations, Warranties and Agreements of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representations and warranties of Counterparty set forth in Section 3 of the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dated as of June 30, 2026, among Counterparty and J.P. Morgan Securities LLC, as representative of the initial purchasers, are true and correct and are hereby deemed to be repeated to Dealer as if set forth herein. Furthermore, in addition to the representations set forth in the Master Agreement, Counterparty represents and warrants to, and agrees with, Dealer, on the date hereof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 (ii) it understands that the Transaction is subject to complex risks which may arise without warning and may at times be volatile, and that losses may occur quickly and in unanticipated magnitude; (iii) it is authorized to enter into the Transaction and such action does not violate any laws of its jurisdiction of incorporation, organization or residence (including, but not limited to, any applicable position or exercise limits set by any self-regulatory organization, either acting alone or in concert with others) or the terms of any agreement to which it is a party; (iv) it has consulted with its legal advisor(s) and has reached its own conclusions about the Transaction, and any legal, regulatory, tax, accounting or economic consequences arising from the Transaction; (v) it has concluded that the Transaction is suitable in light of its own investment objectives, financial condition and expertise; and (vi) neither Dealer nor any of its affiliates has advised it with respect to any legal, regulatory, tax, accounting or economic consequences arising from the Transaction, and neither Dealer nor any of its affiliates is acting as agent, or advisor for Counterparty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reports and other documents filed by Counterparty with the U.S.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 Counterparty is not in possession of any material nonpublic information regarding the business, operations or prospects of Counterparty 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Counterparty is not on the Trade Date engaged in a distribution, as such term is used in Regulation M under the Exchange Act of any securities of Issuer, other than a distribution meeting the requirements of the exception set forth in Rules 101(b)(10) and 102(b)(7) of Regulation M. Counterparty shall not, until the second Scheduled Trading Day immediately following the Effective Date, engage in any such distribution. Counterparty shall not, during (x) the period beginning on, and including, the 41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Scheduled Trading Day immediately preceding July 1, 2029 and ending on, and including, the Scheduled Trading Day immediately following July 1, 2029, (y) the period beginning on, and including, the date on which Counterparty or any subsidiary thereof repurchases, redeems or exchanges any of Counterparty’s 6.25% Convertible Senior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pursuant to the terms thereof, commences a tender offer for the Notes or enters into any agreement to repurchase, redeem or exchange the Notes, and ending on, and including, the second Scheduled Trading Day immediately following completion by Dealer of any unwind activity with respect to Dealer’s Hedge Positions as a result of any such repurchase, redemption, exchange or tender offer, or (z) upon the occurrence of a “Make-Whole Fundamental Change” or the delivery of a “Redemption Notice” by Counterparty (as such terms are defined in the indenture for the Notes), the period beginning on, and including, the “Effective Date” (as defined in the indenture for the Notes) of such Make-Whole Fundamental Change or the date a Redemption Notice is delivered by Counterparty, and ending on, and including, the second Scheduled Trading Day immediately following completion by Dealer of any unwind activity with respect to Dealer’s Hedge Positions in connection with any “Conversion Date” (as defined in the indenture for the Notes) that occurs “in connection with” such Make-Whole Fundamental Change or Notice of Redemption (within the meaning of the indenture for the Notes),(any period described in clause (x), (y), or (z) a “</w:t>
      </w:r>
      <w:r>
        <w:rPr>
          <w:rFonts w:ascii="Times New Roman;Times;Serif" w:hAnsi="Times New Roman;Times;Serif"/>
          <w:b/>
          <w:i w:val="false"/>
          <w:caps w:val="false"/>
          <w:smallCaps w:val="false"/>
          <w:sz w:val="20"/>
        </w:rPr>
        <w:t>Prohibited Period</w:t>
      </w:r>
      <w:r>
        <w:rPr>
          <w:rFonts w:ascii="Times New Roman;Times;Serif" w:hAnsi="Times New Roman;Times;Serif"/>
          <w:b w:val="false"/>
          <w:i w:val="false"/>
          <w:caps w:val="false"/>
          <w:smallCaps w:val="false"/>
          <w:sz w:val="20"/>
        </w:rPr>
        <w:t>”), engage in any such distribution, other than a distribution meeting the requirements of one of the exceptions set forth in Rule 101(b) and Rule 102(b) of Regulation M. Counterparty shall give contemporaneous written notice to Dealer upon it or any of its subsidiaries repurchasing, redeeming or exchanging the Notes pursuant to their terms, commencing a tender offer for the Notes or entering into any agreement to repurchase, redeem or exchange the Notes, and Dealer shall give prompt written notice to Counterparty of its completion of any unwind activity with respect to Dealer’s Hedge Positions as a result of such repurchase, redemption, exchange or tender offer. By 5:00 p.m. (New York City) time on the Scheduled Trading Day following each “Conversion Date” (as defined in the indenture for the Notes) that occurs “in connection with” such Make-Whole Fundamental Change or Notice of Redemption (within the meaning of the indenture for the Notes), Counterparty shall give written notice to Dealer of the aggregate principal amount of Notes converted on such Conversion Date. In addition, Dealer shall give prompt written notice to Counterparty of its completion of any unwind activity with respect to Dealer’s Hedge Positions in connection with any such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Transaction was approved by the board of directors of Counterparty, and Counterparty is entering into the Transaction solely for the purposes stated in such board resolution. There is no internal policy of Counterparty, whether written or oral, that would prohibit Counterparty from entering into any aspect of the Transaction, including, but not limited to, the purchases of Shares to be made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On and immediately after the Trade Date and the Prepayment Date, (A) the value of the total assets of Counterparty is greater than the sum of its total liabilities (including contingent liabilities) and the capital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and (F) Counterparty would be able to purchase the Number of Shares with an aggregate purchase price equal to the Prepayment Amount in compliance with the laws of the jurisdiction of Counterparty’s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Counterparty has made, and will make, all filings required to be made by it with the SEC, any securities exchange or any other regulatory body with respect to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execution and delivery of this Confirmation nor the incurrence or performance of obligations of Counterparty hereunder will conflict with or result in a breach of the Charter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Counterparty is not and, after giving effect to the transactions contemplated in this Confirmation,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Counterparty is an “eligible contract participant” (as such term is defined in Section 1a(18) of the Commodity Exchange Act, as amended, other than a person that is an eligible contract participant under Section 1a(18)(C)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Counterparty’s actual knowledge, after due inquiry, other than pursuant to the Charter,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in each case, excluding any U.S. federal securities laws generally applicable to common equity securities listed on the Exchange; provided that Counterparty makes no representation or warranty regarding any such requirement that is applicable generally to the ownership of equity securities by Dealer or any of its affiliates solely as a result of it or any of such affiliates being a financial institution or broker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On the Trade Date and on any day during a Prohibited Period, neither Counterparty nor any “affiliated purchaser” (as defined in Rule 10b-18 under the Exchange Act)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Notwithstanding the foregoing, nothing herein shall (i) limit Counterparty’s ability, pursuant to its employee incentive plans, to re-acquire Shares in connection with the related equity transactions, (ii) limit Counterparty’s ability to withhold shares to cover tax liabilities associated with such equity transactions or (iii) limit Counterparty’s ability to grant stock, restricted stock units and options to “affiliated purchasers” (as defined in Rule 10b-18) or the ability of such affiliated purchasers to acquire such stock, restricted stock units or options, in connection with the Counterparty’s compensation policies for directors, officers and employees. Further, (i) an agent independent of Counterparty may purchase Shares effected by or for an issuer plan of Issuer in accordance with the requirements of Section 10b-18(a)(13)(ii) under the Exchange Act (with “issuer plan” and “agent independent of the Counterparty” each being used herein as defined in Rule 10b-18) and (ii) Counterparty or any “affiliated purchaser” (as defined in Rule 10b-18) may purchase Shares in (x) unsolicited transactions or (y) privately negotiated (off-market) transactions, in each case, that are not expected to result in market purchases, in each case, without Dealer’s consent. For the avoidance of doubt, this Section 6(o) shall not apply to the purchase, redemption or conversion of the Notes as described in the Offering Memorandum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Other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u w:val="single"/>
        </w:rPr>
        <w:t>Opinions</w:t>
      </w:r>
      <w:r>
        <w:rPr>
          <w:rFonts w:ascii="Times New Roman;Times;Serif" w:hAnsi="Times New Roman;Times;Serif"/>
          <w:b w:val="false"/>
          <w:i w:val="false"/>
          <w:caps w:val="false"/>
          <w:smallCaps w:val="false"/>
          <w:sz w:val="20"/>
        </w:rPr>
        <w:t>. On or prior to the Effective Date, Counterparty shall deliver to Dealer an opinion of counsel, dated as of the Effective Date, in form and substance reasonably satisfactory to Dealer, with respect to the matters set forth in Section 6(g), Section 6(j), Section 6(k) and Section 6(l) of this Confirmation. Delivery of such opinion to Dealer shall be a condition precedent for the purpose of Section 2(a)(iii) of the Master Agreement with respect to each obligation of Dealer under Section 2(a)(i) of the Master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(b)</w:t>
            </w:r>
          </w:p>
        </w:tc>
        <w:tc>
          <w:tcPr>
            <w:tcW w:w="9951" w:type="dxa"/>
            <w:tcBorders/>
            <w:vAlign w:val="center"/>
          </w:tcPr>
          <w:p>
            <w:pPr>
              <w:pStyle w:val="TableContents"/>
              <w:bidi w:val="0"/>
              <w:spacing w:before="0" w:after="283"/>
              <w:jc w:val="both"/>
              <w:rPr/>
            </w:pPr>
            <w:r>
              <w:rPr>
                <w:i/>
                <w:u w:val="single"/>
              </w:rPr>
              <w:t>Repurchase Notices</w:t>
            </w:r>
            <w:r>
              <w:rPr/>
              <w:t>. Counterparty shall, on or prior to the date one Scheduled Trading Day immediately following any date on which Counterparty has effected any repurchase of Shares, promptly give Dealer a written notice of such repurchase (a “</w:t>
            </w:r>
            <w:r>
              <w:rPr>
                <w:b/>
              </w:rPr>
              <w:t>Repurchase Notice</w:t>
            </w:r>
            <w:r>
              <w:rPr/>
              <w:t xml:space="preserve">”) on such day if following such repurchase, the number of outstanding Shares as determined on such day is (i) less than [•] million (in the case of the first such notice) or (ii) thereafter more than [•] million less than the number of Shares included in the immediately preceding Repurchase Notice; </w:t>
            </w:r>
            <w:r>
              <w:rPr>
                <w:i/>
              </w:rPr>
              <w:t>provided</w:t>
            </w:r>
            <w:r>
              <w:rPr/>
              <w:t xml:space="preserve"> that, with respect to any repurchase of Shares pursuant to a plan under Rule 10b5-1 under the Exchange Act, Counterparty may elect to satisfy such requirement by promptly giving Dealer written notice of the entry into such plan, the maximum number of Shares that may be repurchased thereunder and the approximate dates or periods during which such repurchases may occur (with such maximum deemed repurchased on the date of such notice for purposes of this Section 9(b)). Notwithstanding the foregoing or anything to the contrary, Counterparty agrees that Counterparty will indemnify and hold harmless Dealer and its affiliates and their respective officers, directors, employees, affiliates, advisors, agents and controlling persons (each, an “</w:t>
            </w:r>
            <w:r>
              <w:rPr>
                <w:b/>
              </w:rPr>
              <w:t>Indemnified Person</w:t>
            </w:r>
            <w:r>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under or resulting from the operation of any ownership limitations contained in the Charter and, in each case, any losses in connection therewith with respect to the Transaction), claims, damages, judgments, liabilities and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u w:val="single"/>
        </w:rPr>
        <w:t>Early Unwind</w:t>
      </w:r>
      <w:r>
        <w:rPr>
          <w:rFonts w:ascii="Times New Roman;Times;Serif" w:hAnsi="Times New Roman;Times;Serif"/>
          <w:b w:val="false"/>
          <w:i w:val="false"/>
          <w:caps w:val="false"/>
          <w:smallCaps w:val="false"/>
          <w:sz w:val="20"/>
        </w:rPr>
        <w:t>. In the event the sale of the “Firm Securities” (as defined in the Purchase Agreement) is not consummated pursuant to the Purchase Agreement for any reason, or Counterparty fails to deliver to Dealer an opinion of counsel as required pursuant to Section 7(a), in each case by 12:00 p.m. (New York City time) on the Prepayment Date, or such later date as agreed upon by the parties (the Prepayment Date or such later date,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u w:val="single"/>
        </w:rPr>
        <w:t>Transfer or Assignment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Dealer may, without Counterparty’s consent (but with prompt subsequent written notice to Counterparty), transfer or assign all or any part of its rights or obligations under the Transaction (A)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assignment or transfer pursuant to clause (A)(2) hereof, the guarantee of any guarantor of the relevant transferee’s obligations under the Transaction shall constitute a Credit Support Document under the Agreement), or (B) to any other third party with a long-term issuer rating (or to any other third party whose obligations are guaranteed by an entity with a long-term issuer rating) equal to or better than the lesser of (1) the credit rating of Dealer or Dealer’s ultimate parent at the time of the transfer and (2) A- by Standard and Poor’s Rating Group, Inc. or its successor (“</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or A3 by Moody’s Investor Service, Inc. (“</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or, if either S&amp;P or Moody’s ceases to rate such debt, at least an equivalent rating or better by a substitute rating agency mutually agreed by Counterparty and Dealer; provided that, under the applicable law effective on or of the date of such transfer or assignment, at the time such transfer or assignment (i) no Event of Default, Potential Event of Default or Termination Event with respect to which Dealer is the Defaulting Party or an Affected Party, as the case may be, exists or would result from such transfer or assignment and (ii) no Additional Disruption Event would result from such transfer or assignment. In addition, (A) the transferee or assignee shall agree that at the time and as a result of such transfer or assignment, Counterparty will not (x) receive from the transferee or assignee on any payment date or delivery date (after accounting for amounts paid by the transferee or assignee under Section 2(d)(i)(4) of the Master Agreement as well as any withholding or deduction of Tax from the payment or delivery) an amount or a number of Shares, as applicable, lower than the amount or the number of Shares, as applicable, that Counterparty would have been entitled to receive from Dealer in the absence of such transfer or assignment or (y) be required to pay such assignee or transferee on any payment date (taking into account any additional amount required to be paid by Counterparty under Section 2(d)(i)(4) of the Master Agreement) an amount greater than the amount that Counterparty would have been required to pay to Dealer in the absence of such transfer or assignment and (B) the transferee or assignee shall make such Payee Tax Representations and shall provide Counterparty with a complete and accurate U.S. Internal Revenue Service Form W-9 or W-8ECI (or, in each case, successor thereto), prior to becoming a party to the Transaction, including in order to permit Counterparty to make any necessary determinations pursuant to clause (A) of this sentence. If at any time at which (A) the Section 16 Percentage exceeds 8.0%, (B) the Forward Equity Percentage exceeds 14.5%, (C) the Charter Percentage exceeds [•]% or (D) the Share Amount exceeds the Applicable Share Limit (if any applies) (any such condition described in clauses (A), (B), (C) or (D),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Dealer is unable after using its commercially reasonable efforts to effect a transfer or assignment of a portion of the Transaction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Times;Serif" w:hAnsi="Times New Roman;Times;Serif"/>
          <w:b/>
          <w:i w:val="false"/>
          <w:caps w:val="false"/>
          <w:smallCaps w:val="false"/>
          <w:sz w:val="20"/>
        </w:rPr>
        <w:t>Terminated Portion</w:t>
      </w:r>
      <w:r>
        <w:rPr>
          <w:rFonts w:ascii="Times New Roman;Times;Serif" w:hAnsi="Times New Roman;Times;Serif"/>
          <w:b w:val="false"/>
          <w:i w:val="false"/>
          <w:caps w:val="false"/>
          <w:smallCaps w:val="false"/>
          <w:sz w:val="20"/>
        </w:rPr>
        <w:t>”), such that following such partial termination no Excess Ownership Position exists. In the event that Dealer so designates an Early Termination Date with respect to a portion of the Transaction, a payment shall be made pursuant to Section 6 of the Master Agreement as if (1) an Early Termination Date had been designated in respect of a Transaction having terms identical to the Transaction and a Number of Shares equal to the number of Shares underlying the Terminated Portion, (2) Counterparty were the sole Affected Party with respect to such partial termination and (3) the Terminated Portion were the sole Affected Transaction (and, for the avoidance of doubt, the provisions of Section 7(f) shall apply to any amount that is payable by Dealer to Counterparty pursuant to this sentence as if Counterparty was not the Affected Party). The “</w:t>
      </w:r>
      <w:r>
        <w:rPr>
          <w:rFonts w:ascii="Times New Roman;Times;Serif" w:hAnsi="Times New Roman;Times;Serif"/>
          <w:b/>
          <w:i w:val="false"/>
          <w:caps w:val="false"/>
          <w:smallCaps w:val="false"/>
          <w:sz w:val="20"/>
        </w:rPr>
        <w:t>Section 16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of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Times;Serif" w:hAnsi="Times New Roman;Times;Serif"/>
          <w:b/>
          <w:i w:val="false"/>
          <w:caps w:val="false"/>
          <w:smallCaps w:val="false"/>
          <w:sz w:val="20"/>
        </w:rPr>
        <w:t>Forward Equity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and (B) the denominator of which is the number of Shares outstanding. The “</w:t>
      </w:r>
      <w:r>
        <w:rPr>
          <w:rFonts w:ascii="Times New Roman;Times;Serif" w:hAnsi="Times New Roman;Times;Serif"/>
          <w:b/>
          <w:i w:val="false"/>
          <w:caps w:val="false"/>
          <w:smallCaps w:val="false"/>
          <w:sz w:val="20"/>
        </w:rPr>
        <w:t>Share Amount</w:t>
      </w:r>
      <w:r>
        <w:rPr>
          <w:rFonts w:ascii="Times New Roman;Times;Serif" w:hAnsi="Times New Roman;Times;Serif"/>
          <w:b w:val="false"/>
          <w:i w:val="false"/>
          <w:caps w:val="false"/>
          <w:smallCaps w:val="false"/>
          <w:sz w:val="20"/>
        </w:rPr>
        <w:t>” as of any day is the number of Shares that Dealer and any person whose ownership position would be aggregated with that of Dealer (Dealer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any law, rule, regulation, regulatory order or organizational documents or contracts of Counterparty that are, in each case,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owns, beneficially owns, constructively owns, controls, holds the power to vote or otherwise meets a relevant definition of ownership under any Applicable Restriction, as determined by Dealer in its reasonable discretion. The “</w:t>
      </w:r>
      <w:r>
        <w:rPr>
          <w:rFonts w:ascii="Times New Roman;Times;Serif" w:hAnsi="Times New Roman;Times;Serif"/>
          <w:b/>
          <w:i w:val="false"/>
          <w:caps w:val="false"/>
          <w:smallCaps w:val="false"/>
          <w:sz w:val="20"/>
        </w:rPr>
        <w:t>Applicable Share Limit</w:t>
      </w:r>
      <w:r>
        <w:rPr>
          <w:rFonts w:ascii="Times New Roman;Times;Serif" w:hAnsi="Times New Roman;Times;Serif"/>
          <w:b w:val="false"/>
          <w:i w:val="false"/>
          <w:caps w:val="false"/>
          <w:smallCaps w:val="false"/>
          <w:sz w:val="20"/>
        </w:rPr>
        <w:t xml:space="preserve">” means a number of Shares equal to (A) the minimum number of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its good faith, reasonable discretion,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1% of the number of Shares outstanding. The “Charter Percentage” as of any day is the fraction, expressed as a percentage, (A) the numerator of which is the number of Shares that Dealer “Beneficially Owns” and “Constructively Owns” (within the meaning of the Charter) and (B) the denominator of which is the aggregate number of the outstanding Shares on such day. Dealer shall provide Counterparty with written notice of any transfer or assignment on the date of or as promptly as practicable after the date of such transfer or assignment.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 other provision in this Confirmation to the contrary requiring or allowing Dealer to purchase, sell, receive or deliver any Shares or other securities, or make or receive any payment in cash, to or from Counterparty, Dealer may designate any of its affiliates (each, a “Dealer Designated Affiliate”) to purchase, sell, receive or deliver such Shares or other securities, or to make or receive such payment in cash, and otherwise to perform Dealer’s obligations in respect of the Transaction and any such designee may assume such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Dealer Designated Affiliate shall comply with the provisions of the Transaction in the same manner as Dealer would have been required to comply. Dealer shall be discharged of its obligations to Counterparty to the extent of any such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u w:val="single"/>
        </w:rPr>
        <w:t>Staggered Settlement</w:t>
      </w:r>
      <w:r>
        <w:rPr>
          <w:rFonts w:ascii="Times New Roman;Times;Serif" w:hAnsi="Times New Roman;Times;Serif"/>
          <w:b w:val="false"/>
          <w:i w:val="false"/>
          <w:caps w:val="false"/>
          <w:smallCaps w:val="false"/>
          <w:sz w:val="20"/>
        </w:rPr>
        <w:t>. If upon advice of counsel (which may be internal counsel) with respect to any legal, regulatory or self-regulatory requirements or related policies or procedures applicable to Dealer, including any requirements, policies or procedures relating to Dealer’s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such Settlement Date (a “</w:t>
      </w:r>
      <w:r>
        <w:rPr>
          <w:rFonts w:ascii="Times New Roman;Times;Serif" w:hAnsi="Times New Roman;Times;Serif"/>
          <w:b/>
          <w:i w:val="false"/>
          <w:caps w:val="false"/>
          <w:smallCaps w:val="false"/>
          <w:sz w:val="20"/>
        </w:rPr>
        <w:t>Nominal Settlement Date</w:t>
      </w:r>
      <w:r>
        <w:rPr>
          <w:rFonts w:ascii="Times New Roman;Times;Serif" w:hAnsi="Times New Roman;Times;Serif"/>
          <w:b w:val="false"/>
          <w:i w:val="false"/>
          <w:caps w:val="false"/>
          <w:smallCaps w:val="false"/>
          <w:sz w:val="20"/>
        </w:rPr>
        <w:t>”), elect to deliver the Daily Number of Shares otherwise deliverable on such Nominal Settlement Date on two or more dates (each, a “</w:t>
      </w:r>
      <w:r>
        <w:rPr>
          <w:rFonts w:ascii="Times New Roman;Times;Serif" w:hAnsi="Times New Roman;Times;Serif"/>
          <w:b/>
          <w:i w:val="false"/>
          <w:caps w:val="false"/>
          <w:smallCaps w:val="false"/>
          <w:sz w:val="20"/>
        </w:rPr>
        <w:t>Staggered Settlement Date</w:t>
      </w:r>
      <w:r>
        <w:rPr>
          <w:rFonts w:ascii="Times New Roman;Times;Serif" w:hAnsi="Times New Roman;Times;Serif"/>
          <w:b w:val="false"/>
          <w:i w:val="false"/>
          <w:caps w:val="false"/>
          <w:smallCaps w:val="false"/>
          <w:sz w:val="20"/>
        </w:rPr>
        <w:t>”) or at two or more times on a Nominal Settlement Date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 or delivery times;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the aggregate number of Shares that Dealer will deliver to Counterparty hereunder on all such Staggered Settlement Dates or delivery times will equal the number of Shares that Dealer would otherwise be required to deliver on such Nominal Settlement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283"/>
              <w:jc w:val="both"/>
              <w:rPr/>
            </w:pPr>
            <w:r>
              <w:rPr/>
              <w:t>the Physical Settlement terms will apply on each Staggered Settlement Date, except that the Daily Number of Shares otherwise deliverable on such Nominal Settlement Date will be allocated among such Staggered Settlement Dates or delivery times as specified by Dealer in the notice referred to in clause (1)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solely in connection with a Staggered Settlement Date, Dealer shall be entitled to deliver Shares to Counterparty from time to time prior to the date on which Dealer would be obligated to deliver them to Counterparty pursuant to the Physical Settlement terms set forth above, and Counterparty agrees to credit all such early deliveries against Dealer’s obligations hereunder in the direct order in which such obligations arise. No such early delivery of Shares will accelerate or otherwise affect any of Counterparty’s obligations to Dealer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u w:val="single"/>
        </w:rPr>
        <w:t>Alternative Calculations and Payment on Early Termination and on Certain Extraordinary Events.</w:t>
      </w:r>
      <w:r>
        <w:rPr>
          <w:rFonts w:ascii="Times New Roman;Times;Serif" w:hAnsi="Times New Roman;Times;Serif"/>
          <w:b w:val="false"/>
          <w:i w:val="false"/>
          <w:caps w:val="false"/>
          <w:smallCaps w:val="false"/>
          <w:sz w:val="20"/>
        </w:rPr>
        <w:t xml:space="preserve"> 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which Event of Default or Termination Event resulted from an event or events within Counterparty’s control), and if Dealer would owe any amount to Counterparty pursuant to Section 6(d)(ii) of the Master Agreement or any Cancellation Amount pursuant to Article 12 of the Equity Definitions (any such amount,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then Dealer shall satisfy the Payment Obligation by the Share Termination Alternative (as defined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4"/>
        <w:gridCol w:w="60"/>
        <w:gridCol w:w="8486"/>
      </w:tblGrid>
      <w:tr>
        <w:trPr/>
        <w:tc>
          <w:tcPr>
            <w:tcW w:w="7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pPr>
            <w:r>
              <w:rPr/>
              <w:t>Share Termination Alternative:</w:t>
            </w:r>
          </w:p>
        </w:tc>
        <w:tc>
          <w:tcPr>
            <w:tcW w:w="60"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Master Agreement, as applicable, in satisfaction of such Payment Obligation in the manner reasonably requested by Counterparty free of payment.</w:t>
            </w:r>
          </w:p>
        </w:tc>
      </w:tr>
      <w:tr>
        <w:trPr/>
        <w:tc>
          <w:tcPr>
            <w:tcW w:w="7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pPr>
            <w:r>
              <w:rPr/>
              <w:t>Share Termination Delivery Property:</w:t>
            </w:r>
          </w:p>
        </w:tc>
        <w:tc>
          <w:tcPr>
            <w:tcW w:w="60"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both"/>
              <w:rPr/>
            </w:pPr>
            <w:r>
              <w:rPr/>
              <w:t xml:space="preserve">A number of Share Termination Delivery Units, as calculated by the Calculation Agent, equal to the Payment Obligation, </w:t>
            </w:r>
            <w:r>
              <w:rPr>
                <w:i/>
              </w:rPr>
              <w:t>divided by</w:t>
            </w:r>
            <w:r>
              <w:rPr/>
              <w:t xml:space="preserve">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26"/>
        <w:gridCol w:w="60"/>
        <w:gridCol w:w="8644"/>
      </w:tblGrid>
      <w:tr>
        <w:trPr/>
        <w:tc>
          <w:tcPr>
            <w:tcW w:w="7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pPr>
            <w:r>
              <w:rPr/>
              <w:t>Share Termination Unit Price:</w:t>
            </w:r>
          </w:p>
        </w:tc>
        <w:tc>
          <w:tcPr>
            <w:tcW w:w="60" w:type="dxa"/>
            <w:tcBorders/>
            <w:vAlign w:val="center"/>
          </w:tcPr>
          <w:p>
            <w:pPr>
              <w:pStyle w:val="TableContents"/>
              <w:bidi w:val="0"/>
              <w:spacing w:before="0" w:after="283"/>
              <w:jc w:val="left"/>
              <w:rPr/>
            </w:pPr>
            <w:r>
              <w:rPr/>
              <w:t> </w:t>
            </w:r>
          </w:p>
        </w:tc>
        <w:tc>
          <w:tcPr>
            <w:tcW w:w="8644" w:type="dxa"/>
            <w:tcBorders/>
            <w:vAlign w:val="center"/>
          </w:tcPr>
          <w:p>
            <w:pPr>
              <w:pStyle w:val="TableContents"/>
              <w:bidi w:val="0"/>
              <w:spacing w:before="0" w:after="283"/>
              <w:jc w:val="both"/>
              <w:rPr/>
            </w:pPr>
            <w:r>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Unit Price the Calculation Agent may consider the purchase price paid in connection with the purchase of Share Termination Delivery Property or the per Share unwind price of any Share-linked Hedge Positions, as the case may be.</w:t>
            </w:r>
          </w:p>
        </w:tc>
      </w:tr>
      <w:tr>
        <w:trPr/>
        <w:tc>
          <w:tcPr>
            <w:tcW w:w="75"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Share Termination Delivery Unit:</w:t>
            </w:r>
          </w:p>
        </w:tc>
        <w:tc>
          <w:tcPr>
            <w:tcW w:w="60" w:type="dxa"/>
            <w:tcBorders/>
            <w:vAlign w:val="center"/>
          </w:tcPr>
          <w:p>
            <w:pPr>
              <w:pStyle w:val="TableContents"/>
              <w:bidi w:val="0"/>
              <w:spacing w:before="0" w:after="283"/>
              <w:jc w:val="left"/>
              <w:rPr/>
            </w:pPr>
            <w:r>
              <w:rPr/>
              <w:t> </w:t>
            </w:r>
          </w:p>
        </w:tc>
        <w:tc>
          <w:tcPr>
            <w:tcW w:w="8644" w:type="dxa"/>
            <w:tcBorders/>
            <w:vAlign w:val="center"/>
          </w:tcPr>
          <w:p>
            <w:pPr>
              <w:pStyle w:val="TableContents"/>
              <w:bidi w:val="0"/>
              <w:spacing w:before="0" w:after="283"/>
              <w:jc w:val="both"/>
              <w:rPr/>
            </w:pPr>
            <w:r>
              <w:rPr/>
              <w:t>One Share or, if the Shares have changed into cash or any other property or the right to receive cash or any other property as the result of a Nationalization, Insolvency or Merger Event (any such cash or other property, the “</w:t>
            </w:r>
            <w:r>
              <w:rPr>
                <w:b/>
              </w:rPr>
              <w:t>Exchange Property</w:t>
            </w:r>
            <w:r>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tc>
      </w:tr>
      <w:tr>
        <w:trPr/>
        <w:tc>
          <w:tcPr>
            <w:tcW w:w="75"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Failure to Deliver:</w:t>
            </w:r>
          </w:p>
        </w:tc>
        <w:tc>
          <w:tcPr>
            <w:tcW w:w="60" w:type="dxa"/>
            <w:tcBorders/>
            <w:vAlign w:val="center"/>
          </w:tcPr>
          <w:p>
            <w:pPr>
              <w:pStyle w:val="TableContents"/>
              <w:bidi w:val="0"/>
              <w:spacing w:before="0" w:after="283"/>
              <w:jc w:val="left"/>
              <w:rPr/>
            </w:pPr>
            <w:r>
              <w:rPr/>
              <w:t> </w:t>
            </w:r>
          </w:p>
        </w:tc>
        <w:tc>
          <w:tcPr>
            <w:tcW w:w="8644" w:type="dxa"/>
            <w:tcBorders/>
            <w:vAlign w:val="center"/>
          </w:tcPr>
          <w:p>
            <w:pPr>
              <w:pStyle w:val="TableContents"/>
              <w:bidi w:val="0"/>
              <w:spacing w:before="0" w:after="283"/>
              <w:jc w:val="both"/>
              <w:rPr/>
            </w:pPr>
            <w:r>
              <w:rPr/>
              <w:t>Applicable</w:t>
            </w:r>
          </w:p>
        </w:tc>
      </w:tr>
      <w:tr>
        <w:trPr/>
        <w:tc>
          <w:tcPr>
            <w:tcW w:w="75"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Other applicable provisions:</w:t>
            </w:r>
          </w:p>
        </w:tc>
        <w:tc>
          <w:tcPr>
            <w:tcW w:w="60" w:type="dxa"/>
            <w:tcBorders/>
            <w:vAlign w:val="center"/>
          </w:tcPr>
          <w:p>
            <w:pPr>
              <w:pStyle w:val="TableContents"/>
              <w:bidi w:val="0"/>
              <w:spacing w:before="0" w:after="283"/>
              <w:jc w:val="left"/>
              <w:rPr/>
            </w:pPr>
            <w:r>
              <w:rPr/>
              <w:t> </w:t>
            </w:r>
          </w:p>
        </w:tc>
        <w:tc>
          <w:tcPr>
            <w:tcW w:w="8644" w:type="dxa"/>
            <w:tcBorders/>
            <w:vAlign w:val="center"/>
          </w:tcPr>
          <w:p>
            <w:pPr>
              <w:pStyle w:val="TableContents"/>
              <w:bidi w:val="0"/>
              <w:spacing w:before="0" w:after="283"/>
              <w:jc w:val="both"/>
              <w:rPr/>
            </w:pPr>
            <w:r>
              <w:rPr/>
              <w:t>If Share Termination Alternative is applicable, the provisions of Sections 9.8, 9.9 and 9.11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u w:val="single"/>
        </w:rPr>
        <w:t>Securities Contract, Swap Agreement</w:t>
      </w:r>
      <w:r>
        <w:rPr>
          <w:rFonts w:ascii="Times New Roman;Times;Serif" w:hAnsi="Times New Roman;Times;Serif"/>
          <w:b w:val="false"/>
          <w:i w:val="false"/>
          <w:caps w:val="false"/>
          <w:smallCaps w:val="false"/>
          <w:sz w:val="20"/>
        </w:rPr>
        <w:t>. The parties hereto intend for (i) the Transaction to be a “securities contract” and a “swap agreement” 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Early Termination Event, Extraordinary Event or Additional Disruption Event under this Confirmation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u w:val="single"/>
        </w:rPr>
        <w:t>No Collateral, Netting or Setoff</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Notwithstanding any provision of the Master Agreement, or any other agreement between the parties, to the contrary, no collateral is transferred in connection with the Transaction. Obligations under the Transaction shall not be netted, recouped or set off (including pursuant to Section 6 of the Master Agreement) against any other obligations of the parties, whether arising under the Master Agreement, this Confirmation, under any other agreement between the parties hereto, by operation of law or otherwise, and no other obligations of the parties shall be netted, recouped or set off (including pursuant to Section 6 of the Master Agreement) against obligations under the Transaction, whether arising under the Master Agreement, this Confirmation, under any other agreement between the parties hereto, by operation of law or otherwise, and each party hereby waives any such right of setoff, netting or recoupment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u w:val="single"/>
        </w:rPr>
        <w:t>Status of Claims in Bankruptcy</w:t>
      </w:r>
      <w:r>
        <w:rPr>
          <w:rFonts w:ascii="Times New Roman;Times;Serif" w:hAnsi="Times New Roman;Times;Serif"/>
          <w:b w:val="false"/>
          <w:i w:val="false"/>
          <w:caps w:val="false"/>
          <w:smallCaps w:val="false"/>
          <w:sz w:val="20"/>
        </w:rPr>
        <w:t xml:space="preserve">. Dealer acknowledges and agrees that this Confirmation is not intended to convey to Dealer rights against Counterparty with respect to the Transaction that are senior to the claims of common stockholders of Counterparty in any U.S. bankruptcy proceedings of Counterparty;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limit or shall be deemed to limit Dealer’s right to pursue remedies in the event of a breach by Counterparty of its obligations and agreements with respect to the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nothing herein shall limit or shall be deemed to limit Dealer’s rights in respect of any transactions other than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u w:val="single"/>
        </w:rPr>
        <w:t>Governing Law</w:t>
      </w:r>
      <w:r>
        <w:rPr>
          <w:rFonts w:ascii="Times New Roman;Times;Serif" w:hAnsi="Times New Roman;Times;Serif"/>
          <w:b w:val="false"/>
          <w:i w:val="false"/>
          <w:caps w:val="false"/>
          <w:smallCaps w:val="false"/>
          <w:sz w:val="20"/>
        </w:rPr>
        <w:t>. This Confirmation will be governed by, and construed in accordance with, the laws of the State of New York (without reference to choice of law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u w:val="single"/>
        </w:rPr>
        <w:t>Waiver of Jury Trial</w:t>
      </w:r>
      <w:r>
        <w:rPr>
          <w:rFonts w:ascii="Times New Roman;Times;Serif" w:hAnsi="Times New Roman;Times;Serif"/>
          <w:b w:val="false"/>
          <w:i w:val="false"/>
          <w:caps w:val="false"/>
          <w:smallCaps w:val="false"/>
          <w:sz w:val="20"/>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u w:val="single"/>
        </w:rPr>
        <w:t>Tax 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u w:val="single"/>
        </w:rPr>
        <w:t>Right to Extend</w:t>
      </w:r>
      <w:r>
        <w:rPr>
          <w:rFonts w:ascii="Times New Roman;Times;Serif" w:hAnsi="Times New Roman;Times;Serif"/>
          <w:b w:val="false"/>
          <w:i w:val="false"/>
          <w:caps w:val="false"/>
          <w:smallCaps w:val="false"/>
          <w:sz w:val="20"/>
        </w:rPr>
        <w:t>. Dealer may postpone or add, in whole or in part, any Valuation Dates and related Settlement Dates, or any other date of valuation, payment or delivery by Dealer, with respect to some or all of the Number of Shares hereunder, if Dealer determines, in its commercially reasonable judgment (in the case of clause (i) below) or based on the advice of counsel (in the case of clause (ii) below, which may be internal counsel), that such action is reasonably necessary or appropriate to (i) preserve Dealer’s hedging or hedge unwind activity hereunder in light of existing liquidity conditions or (ii)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provided that such policies and procedures have been adopted by Dealer in good faith and are generally applicable in similar situations and applied in a non-discriminatory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u w:val="single"/>
        </w:rPr>
        <w:t>Payee Tax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283"/>
              <w:jc w:val="both"/>
              <w:rPr/>
            </w:pPr>
            <w:r>
              <w:rPr/>
              <w:t>For the purpose of Section 3(f) of the Master Agreement, Counterparty makes the representations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a “U.S. person” (as that term is used in United States Treasury Regulations Section 1.1441-4(a)(3)(ii))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a real estate investment trust for U.S. federal income tax purposes and is organized under the laws of the State of Maryland, and is an exempt recipient under United States Treasury Regulation Section 1.6049-4(c)(1)(ii)(J).</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5"/>
        <w:gridCol w:w="9950"/>
      </w:tblGrid>
      <w:tr>
        <w:trPr/>
        <w:tc>
          <w:tcPr>
            <w:tcW w:w="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t>For the purpose of Section 3(f) of the Master Agreement, Dealer makes the representations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is a national banking association organized under the laws of the United States, an exempt recipient under Section 1.6049-4(c)(1)(ii) of the United States Treasury Regulations, and a “U.S.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u w:val="single"/>
        </w:rPr>
        <w:t>Tax Forms</w:t>
      </w:r>
      <w:r>
        <w:rPr>
          <w:rFonts w:ascii="Times New Roman;Times;Serif" w:hAnsi="Times New Roman;Times;Serif"/>
          <w:b w:val="false"/>
          <w:i w:val="false"/>
          <w:caps w:val="false"/>
          <w:smallCaps w:val="false"/>
          <w:sz w:val="20"/>
        </w:rPr>
        <w:t>. For the purpose of Sections 4(a)(i) and (ii) of the Master Agreement, Counterparty agrees to deliver to Dealer one executed and completed U.S. Internal Revenue Service Form W-9 (or successor thereto) and Dealer agrees to deliver to Counterparty, as applicable, a U.S. Internal Revenue Service Form W-9 or W-8ECI (or successor thereto). Such forms or documents shall be delivered upon (i) execution of this Confirmation, (ii) Counterparty or Dealer, as applicable, learning that any such tax form previously provided by it has become obsolete or incorrect, and (iii) reasonable request of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u w:val="single"/>
        </w:rPr>
        <w:t>871(m)</w:t>
      </w:r>
      <w:r>
        <w:rPr>
          <w:rFonts w:ascii="Times New Roman;Times;Serif" w:hAnsi="Times New Roman;Times;Serif"/>
          <w:b w:val="false"/>
          <w:i w:val="false"/>
          <w:caps w:val="false"/>
          <w:smallCaps w:val="false"/>
          <w:sz w:val="20"/>
        </w:rPr>
        <w:t>. To the extent that the parties are not adherent to the 2015 Section 871(m) Protocol published by the International Swaps and Derivatives Association, Inc. on November 2, 2015, as may be amended or modified from time to time (the “2015 Section 871(m) Protocol”), the parties agree that this Master Agreement shall be treated as a Covered Master Agreement (as that term is defined in the 2015 Section 871(m) Protocol) and this Master Agreement shall be deemed to have been amended in accordance with the modifications specified in the Attachment to the 2015 Section 871(m)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u w:val="single"/>
        </w:rPr>
        <w:t>Withholding Tax Imposed on Payments to Non-U.S. Counterparties under the United States Foreign Account Tax Compliance Provisions of the HIRE Act</w:t>
      </w:r>
      <w:r>
        <w:rPr>
          <w:rFonts w:ascii="Times New Roman;Times;Serif" w:hAnsi="Times New Roman;Times;Serif"/>
          <w:b w:val="false"/>
          <w:i w:val="false"/>
          <w:caps w:val="false"/>
          <w:smallCaps w:val="false"/>
          <w:sz w:val="20"/>
        </w:rPr>
        <w:t>. “Indemnifiable Tax”, as defined in Section 14 of the Master Agreement, shall not include any U.S. federal withholding tax imposed or collected pursuant to FATCA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“FATCA” is defined as Sections 1471 through 1474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For the avoidance of doubt, a FATCA Withholding Tax is a Tax the deduction or withholding of which is required by applicable law for the purposes of Section 2(d) of the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u w:val="single"/>
        </w:rPr>
        <w:t>Wall Street Transparency and Accountability Act.</w:t>
      </w:r>
      <w:r>
        <w:rPr>
          <w:rFonts w:ascii="Times New Roman;Times;Serif" w:hAnsi="Times New Roman;Times;Serif"/>
          <w:b w:val="false"/>
          <w:i w:val="false"/>
          <w:caps w:val="false"/>
          <w:smallCaps w:val="false"/>
          <w:sz w:val="20"/>
        </w:rPr>
        <w:t xml:space="preserve"> In connection with Section 739 of the Wall Street Transparency and Accountability Act of 2010 (“</w:t>
      </w:r>
      <w:r>
        <w:rPr>
          <w:rFonts w:ascii="Times New Roman;Times;Serif" w:hAnsi="Times New Roman;Times;Serif"/>
          <w:b/>
          <w:i w:val="false"/>
          <w:caps w:val="false"/>
          <w:smallCaps w:val="false"/>
          <w:sz w:val="20"/>
        </w:rPr>
        <w:t>WSTAA</w:t>
      </w:r>
      <w:r>
        <w:rPr>
          <w:rFonts w:ascii="Times New Roman;Times;Serif" w:hAnsi="Times New Roman;Times;Serif"/>
          <w:b w:val="false"/>
          <w:i w:val="false"/>
          <w:caps w:val="false"/>
          <w:smallCaps w:val="false"/>
          <w:sz w:val="20"/>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Master Agreement, as applicable, arising from a termination event, force majeure, illegality, increased costs, regulatory change or similar event under this Confirmation, the Equity Definitions incorporated herein, or the Master Agreement (including, but not limited to, rights arising from Change in Law, Hedging Disruption, Increased Cost of Hedging, an Excess Ownership Position, or Illegality (as defined in the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u w:val="single"/>
        </w:rPr>
        <w:t>Notice</w:t>
      </w:r>
      <w:r>
        <w:rPr>
          <w:rFonts w:ascii="Times New Roman;Times;Serif" w:hAnsi="Times New Roman;Times;Serif"/>
          <w:b w:val="false"/>
          <w:i w:val="false"/>
          <w:caps w:val="false"/>
          <w:smallCaps w:val="false"/>
          <w:sz w:val="20"/>
        </w:rPr>
        <w:t>. Counterparty shall, upon obtaining knowledge of the occurrence of any event that would, with the giving of notice, the passage of time or the satisfaction of any condition, constitute an Event of Default in respect of which it would be the Defaulting Party, a Termination Event in respect of which it would be an Affected Party, a Potential Adjustment Event or an Extraordinary Event (including without limitation an Additional Disruption Event), notify Dealer within one Scheduled Trading Day of the occurrence of obtaining such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u w:val="single"/>
        </w:rPr>
        <w:t>Agreements and Acknowledgements Regarding Hedging</w:t>
      </w:r>
      <w:r>
        <w:rPr>
          <w:rFonts w:ascii="Times New Roman;Times;Serif" w:hAnsi="Times New Roman;Times;Serif"/>
          <w:b w:val="false"/>
          <w:i w:val="false"/>
          <w:caps w:val="false"/>
          <w:smallCaps w:val="false"/>
          <w:sz w:val="20"/>
        </w:rPr>
        <w:t>. Counterparty understands, acknowledges and agrees that: (A) at any time on and prior to the final Valuation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Forward Price; and (D) any market activities of Dealer and its affiliates with respect to Shares may affect the market price and volatility of Shares in a manner that may be adverse to Counterparty. Notwithstanding the foregoing, Dealer agrees that it will use commercially reasonable efforts to establish its initial Hedge Positions, or portion thereof, with respect to the Transaction that consists of over-the-counter equity derivatives transactions relating to the Shares with one or more counterparties that Dealer believes in good faith to be an investor (or its affiliate) of the Convertible Notes at or around the time it agrees to enter into such transaction with such counterparty (it being understood that for the avoidance of doubt, following the establishment of such Hedge Positions, Dealer shall not be required to maintain any such Hedge Positions with any such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u w:val="single"/>
        </w:rPr>
        <w:t>Registration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Solely to the extent that there is any occurrence or designation of an Early Termination Date or cancellation or termination of the Transaction upon the occurrence of an Extraordinary Event, in each case as to which the provisions set forth in Section 7(f) do not apply, Counterparty hereby agrees that if, in the good faith reasonable judgment of Dealer, based on the advice of counsel, the Shares (“</w:t>
      </w:r>
      <w:r>
        <w:rPr>
          <w:rFonts w:ascii="Times New Roman;Times;Serif" w:hAnsi="Times New Roman;Times;Serif"/>
          <w:b/>
          <w:i w:val="false"/>
          <w:caps w:val="false"/>
          <w:smallCaps w:val="false"/>
          <w:sz w:val="20"/>
        </w:rPr>
        <w:t>Hedge Shares</w:t>
      </w:r>
      <w:r>
        <w:rPr>
          <w:rFonts w:ascii="Times New Roman;Times;Serif" w:hAnsi="Times New Roman;Times;Serif"/>
          <w:b w:val="false"/>
          <w:i w:val="false"/>
          <w:caps w:val="false"/>
          <w:smallCaps w:val="false"/>
          <w:sz w:val="20"/>
        </w:rPr>
        <w:t xml:space="preserve">”) acquired by Dealer for the purpose of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(A) enter into an agreement, in form and substance satisfactory to Dealer, substantially in the form of an underwriting agreement for a registered secondary offering of similar size, (B) provide accountant’s “comfort” letters in customary form for registered offerings of equity securities for companies of similar size, (C) provide disclosure opinions of nationally recognized outside counsel to Counterparty in customary form for registered offerings of equity securities for companies of a similar size, (D) provide other customary opinions, certificates and closing documents customary in form for registered offerings of equity securities for companies of a similar size and (E) afford Dealer a reasonable opportunity to conduct a “due diligence” investigation with respect to Counterparty customary in scope for underwritten offerings of equity securities for companies of a similar size;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of similar size), or (iii) purchase the Hedge Shares from Dealer at the then-current market price on the relevant Exchange Business Days, and in the amounts and at such time(s), requested by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u w:val="single"/>
          <w:shd w:fill="FFFFFF" w:val="clear"/>
        </w:rPr>
        <w:t>Qualified Financial Contract.</w:t>
      </w:r>
      <w:r>
        <w:rPr>
          <w:rFonts w:ascii="Times New Roman;Times;Serif" w:hAnsi="Times New Roman;Times;Serif"/>
          <w:b w:val="false"/>
          <w:i w:val="false"/>
          <w:caps w:val="false"/>
          <w:smallCaps w:val="false"/>
          <w:sz w:val="20"/>
          <w:shd w:fill="FFFFFF" w:val="clear"/>
        </w:rPr>
        <w:t xml:space="preserve"> The parties acknowledge and agree that (i) to the extent that prior to the date hereof both parties have adhered to the 2018 ISDA U.S. Resolution Stay Protocol (the “</w:t>
      </w:r>
      <w:r>
        <w:rPr>
          <w:rFonts w:ascii="Times New Roman;Times;Serif" w:hAnsi="Times New Roman;Times;Serif"/>
          <w:b/>
          <w:i w:val="false"/>
          <w:caps w:val="false"/>
          <w:smallCaps w:val="false"/>
          <w:sz w:val="20"/>
          <w:shd w:fill="FFFFFF" w:val="clear"/>
        </w:rPr>
        <w:t>Protocol</w:t>
      </w:r>
      <w:r>
        <w:rPr>
          <w:rFonts w:ascii="Times New Roman;Times;Serif" w:hAnsi="Times New Roman;Times;Serif"/>
          <w:b w:val="false"/>
          <w:i w:val="false"/>
          <w:caps w:val="false"/>
          <w:smallCaps w:val="false"/>
          <w:sz w:val="20"/>
          <w:shd w:fill="FFFFFF" w:val="clear"/>
        </w:rPr>
        <w:t>”), the terms of the Protocol are incorporated into and form a part of the Agreement, and for such purposes the Agreement shall be deemed a Protocol Covered Agreement, the Dealer shall be deemed a Regulated Entity and Counterparty shall be deemed an Adhering Party; (ii) to the extent that prior to the date hereof the parties have executed a separate agreement the effect of which is to amend the qualified financial contracts between them to conform with the requirements of the QFC Stay Rules (the “</w:t>
      </w:r>
      <w:r>
        <w:rPr>
          <w:rFonts w:ascii="Times New Roman;Times;Serif" w:hAnsi="Times New Roman;Times;Serif"/>
          <w:b/>
          <w:i w:val="false"/>
          <w:caps w:val="false"/>
          <w:smallCaps w:val="false"/>
          <w:sz w:val="20"/>
          <w:shd w:fill="FFFFFF" w:val="clear"/>
        </w:rPr>
        <w:t>Bilateral Agreement</w:t>
      </w:r>
      <w:r>
        <w:rPr>
          <w:rFonts w:ascii="Times New Roman;Times;Serif" w:hAnsi="Times New Roman;Times;Serif"/>
          <w:b w:val="false"/>
          <w:i w:val="false"/>
          <w:caps w:val="false"/>
          <w:smallCaps w:val="false"/>
          <w:sz w:val="20"/>
          <w:shd w:fill="FFFFFF" w:val="clear"/>
        </w:rPr>
        <w:t>”), the terms of the Bilateral Agreement are incorporated into and form a part of the Agreement, and for such purposes the Agreement shall be deemed a Covered Agreement, Dealer shall be deemed a Covered Entity and Counterparty shall be deemed a Counterparty Entity; or (iii) if clause (i) and clause (ii) do not apply, the terms of Section 1 and Section 2 and the related defined terms (together, the “</w:t>
      </w:r>
      <w:r>
        <w:rPr>
          <w:rFonts w:ascii="Times New Roman;Times;Serif" w:hAnsi="Times New Roman;Times;Serif"/>
          <w:b/>
          <w:i w:val="false"/>
          <w:caps w:val="false"/>
          <w:smallCaps w:val="false"/>
          <w:sz w:val="20"/>
          <w:shd w:fill="FFFFFF" w:val="clear"/>
        </w:rPr>
        <w:t>Bilateral Terms</w:t>
      </w:r>
      <w:r>
        <w:rPr>
          <w:rFonts w:ascii="Times New Roman;Times;Serif" w:hAnsi="Times New Roman;Times;Serif"/>
          <w:b w:val="false"/>
          <w:i w:val="false"/>
          <w:caps w:val="false"/>
          <w:smallCaps w:val="false"/>
          <w:sz w:val="20"/>
          <w:shd w:fill="FFFFFF" w:val="clear"/>
        </w:rPr>
        <w:t xml:space="preserve">”) of the form of bilateral template entitled “Full-Length Omnibus (for use between U.S. G-SIBs and Corporate Groups)” published by ISDA on November 2, 2018 (currently available on the 2018 ISDA U.S. Resolution Stay Protocol page at </w:t>
      </w:r>
      <w:r>
        <w:rPr>
          <w:rFonts w:ascii="Times New Roman;Times;Serif" w:hAnsi="Times New Roman;Times;Serif"/>
          <w:b w:val="false"/>
          <w:i w:val="false"/>
          <w:caps w:val="false"/>
          <w:smallCaps w:val="false"/>
          <w:sz w:val="20"/>
          <w:u w:val="single"/>
          <w:shd w:fill="FFFFFF" w:val="clear"/>
        </w:rPr>
        <w:t>www.isda.org</w:t>
      </w:r>
      <w:r>
        <w:rPr>
          <w:rFonts w:ascii="Times New Roman;Times;Serif" w:hAnsi="Times New Roman;Times;Serif"/>
          <w:b w:val="false"/>
          <w:i w:val="false"/>
          <w:caps w:val="false"/>
          <w:smallCaps w:val="false"/>
          <w:sz w:val="20"/>
          <w:shd w:fill="FFFFFF" w:val="clear"/>
        </w:rPr>
        <w:t xml:space="preserve">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Dealer shall be deemed a “Covered Entity” and Counterparty shall be deemed a “Counterparty Entity.” In the event that, after the date of the Agreement, both parties hereto become adhering parties to the Protocol, the terms of the Protocol will replace the terms of this paragraph. In the event of any inconsistencies between the Agreement and the terms of the Protocol, the Bilateral Agreement or the Bilateral Terms (each, the “</w:t>
      </w:r>
      <w:r>
        <w:rPr>
          <w:rFonts w:ascii="Times New Roman;Times;Serif" w:hAnsi="Times New Roman;Times;Serif"/>
          <w:b/>
          <w:i w:val="false"/>
          <w:caps w:val="false"/>
          <w:smallCaps w:val="false"/>
          <w:sz w:val="20"/>
          <w:shd w:fill="FFFFFF" w:val="clear"/>
        </w:rPr>
        <w:t>QFC Stay Terms</w:t>
      </w:r>
      <w:r>
        <w:rPr>
          <w:rFonts w:ascii="Times New Roman;Times;Serif" w:hAnsi="Times New Roman;Times;Serif"/>
          <w:b w:val="false"/>
          <w:i w:val="false"/>
          <w:caps w:val="false"/>
          <w:smallCaps w:val="false"/>
          <w:sz w:val="20"/>
          <w:shd w:fill="FFFFFF" w:val="clear"/>
        </w:rPr>
        <w:t>”),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  “QFC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u w:val="single"/>
        </w:rPr>
        <w:t>REIT Matters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parties agree that for all purposes of the Agreement and this Confirmation, (A) the terms “Beneficial Ownership” and “Constructive Ownership” in Article VII of Issuer’s Charter on the date hereof shall not include shares held by Dealer, its affiliates, or any person whose ownership of shares is attributed to Dealer under the definitions of “Beneficial Ownership” or “Constructive Ownership” in Article VII of the Charter to the extent such shares are held in a purely fiduciary capacity or otherwise not held by such person as principal and in each case not treated as ownership by such person for applicable U.S. federal income tax purposes, and (B) the shares described in clause (A) above shall not be considered Beneficially Owned or Constructively Owned by Dealer or its affiliates under the Charter, provided that in no event shall this Section 7(u) permit ownership by any person that would cause Counterparty to fail to qualify for taxation as a REIT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to follow on separate page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terms of our agreement by executing this Confirmation and returning it to Dealer.</w:t>
      </w:r>
    </w:p>
    <w:p>
      <w:pPr>
        <w:pStyle w:val="TextBody"/>
        <w:bidi w:val="0"/>
        <w:spacing w:before="0" w:after="0"/>
        <w:ind w:left="0" w:right="0" w:hanging="0"/>
        <w:jc w:val="left"/>
        <w:rPr>
          <w:caps w:val="false"/>
          <w:smallCaps w:val="false"/>
        </w:rPr>
      </w:pPr>
      <w:r>
        <w:rPr>
          <w:caps w:val="false"/>
          <w:smallCaps w:val="false"/>
        </w:rPr>
        <w:t>  </w:t>
      </w:r>
    </w:p>
    <w:tbl>
      <w:tblPr>
        <w:tblW w:w="1414" w:type="dxa"/>
        <w:jc w:val="left"/>
        <w:tblInd w:w="0" w:type="dxa"/>
        <w:tblLayout w:type="fixed"/>
        <w:tblCellMar>
          <w:top w:w="0" w:type="dxa"/>
          <w:left w:w="0" w:type="dxa"/>
          <w:bottom w:w="0" w:type="dxa"/>
          <w:right w:w="0" w:type="dxa"/>
        </w:tblCellMar>
      </w:tblPr>
      <w:tblGrid>
        <w:gridCol w:w="75"/>
        <w:gridCol w:w="487"/>
        <w:gridCol w:w="852"/>
      </w:tblGrid>
      <w:tr>
        <w:trPr/>
        <w:tc>
          <w:tcPr>
            <w:tcW w:w="75"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sincerely,</w:t>
            </w:r>
          </w:p>
        </w:tc>
      </w:tr>
      <w:tr>
        <w:trPr/>
        <w:tc>
          <w:tcPr>
            <w:tcW w:w="75"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[DEALER]</w:t>
            </w:r>
          </w:p>
        </w:tc>
      </w:tr>
      <w:tr>
        <w:trPr/>
        <w:tc>
          <w:tcPr>
            <w:tcW w:w="75"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5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tab/>
            </w:r>
          </w:p>
        </w:tc>
      </w:tr>
      <w:tr>
        <w:trPr/>
        <w:tc>
          <w:tcPr>
            <w:tcW w:w="75"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tab/>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1401"/>
        <w:gridCol w:w="2474"/>
        <w:gridCol w:w="313"/>
        <w:gridCol w:w="75"/>
      </w:tblGrid>
      <w:tr>
        <w:trPr/>
        <w:tc>
          <w:tcPr>
            <w:tcW w:w="4188" w:type="dxa"/>
            <w:gridSpan w:val="3"/>
            <w:tcBorders/>
            <w:vAlign w:val="center"/>
          </w:tcPr>
          <w:p>
            <w:pPr>
              <w:pStyle w:val="TableContents"/>
              <w:bidi w:val="0"/>
              <w:spacing w:before="0" w:after="283"/>
              <w:jc w:val="left"/>
              <w:rPr/>
            </w:pPr>
            <w:r>
              <w:rPr/>
              <w:t>Confirmed as of the date first above written:</w:t>
            </w:r>
          </w:p>
        </w:tc>
        <w:tc>
          <w:tcPr>
            <w:tcW w:w="75" w:type="dxa"/>
            <w:tcBorders/>
            <w:vAlign w:val="center"/>
          </w:tcPr>
          <w:p>
            <w:pPr>
              <w:pStyle w:val="TableContents"/>
              <w:bidi w:val="0"/>
              <w:spacing w:before="0" w:after="283"/>
              <w:jc w:val="left"/>
              <w:rPr/>
            </w:pPr>
            <w:r>
              <w:rPr/>
              <w:t> </w:t>
            </w:r>
          </w:p>
        </w:tc>
      </w:tr>
      <w:tr>
        <w:trPr/>
        <w:tc>
          <w:tcPr>
            <w:tcW w:w="4188"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88"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 xml:space="preserve">Arbor Realty Trust, Inc. </w:t>
            </w:r>
          </w:p>
        </w:tc>
        <w:tc>
          <w:tcPr>
            <w:tcW w:w="75" w:type="dxa"/>
            <w:tcBorders/>
            <w:vAlign w:val="center"/>
          </w:tcPr>
          <w:p>
            <w:pPr>
              <w:pStyle w:val="TableContents"/>
              <w:bidi w:val="0"/>
              <w:spacing w:before="0" w:after="283"/>
              <w:jc w:val="left"/>
              <w:rPr/>
            </w:pPr>
            <w:r>
              <w:rPr/>
              <w:t> </w:t>
            </w:r>
          </w:p>
        </w:tc>
      </w:tr>
      <w:tr>
        <w:trPr/>
        <w:tc>
          <w:tcPr>
            <w:tcW w:w="14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7"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1" w:type="dxa"/>
            <w:tcBorders/>
            <w:vAlign w:val="center"/>
          </w:tcPr>
          <w:p>
            <w:pPr>
              <w:pStyle w:val="TableContents"/>
              <w:bidi w:val="0"/>
              <w:spacing w:before="0" w:after="283"/>
              <w:jc w:val="left"/>
              <w:rPr/>
            </w:pPr>
            <w:r>
              <w:rPr/>
              <w:t> </w:t>
            </w:r>
          </w:p>
        </w:tc>
        <w:tc>
          <w:tcPr>
            <w:tcW w:w="2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1" w:type="dxa"/>
            <w:tcBorders/>
            <w:vAlign w:val="center"/>
          </w:tcPr>
          <w:p>
            <w:pPr>
              <w:pStyle w:val="TableContents"/>
              <w:bidi w:val="0"/>
              <w:spacing w:before="0" w:after="283"/>
              <w:jc w:val="left"/>
              <w:rPr/>
            </w:pPr>
            <w:r>
              <w:rPr/>
              <w:t> </w:t>
            </w:r>
          </w:p>
        </w:tc>
        <w:tc>
          <w:tcPr>
            <w:tcW w:w="2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65957</Words>
  <Characters>342069</Characters>
  <CharactersWithSpaces>411158</CharactersWithSpaces>
  <Paragraphs>3497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